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2021年度</w:t>
      </w:r>
    </w:p>
    <w:p>
      <w:pPr>
        <w:pStyle w:val="11"/>
        <w:jc w:val="center"/>
        <w:rPr>
          <w:sz w:val="84"/>
          <w:szCs w:val="84"/>
        </w:rPr>
      </w:pPr>
      <w:r>
        <w:rPr>
          <w:rFonts w:hint="eastAsia" w:ascii="方正小标宋_GBK" w:hAnsi="方正小标宋_GBK" w:eastAsia="方正小标宋_GBK" w:cs="方正小标宋_GBK"/>
          <w:sz w:val="72"/>
          <w:szCs w:val="72"/>
        </w:rPr>
        <w:t>永州市中心血站部门决算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  录</w:t>
      </w:r>
    </w:p>
    <w:p>
      <w:pPr>
        <w:pStyle w:val="11"/>
        <w:spacing w:line="50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 xml:space="preserve">第一部分 </w:t>
      </w:r>
      <w:r>
        <w:rPr>
          <w:rFonts w:hint="eastAsia" w:ascii="楷体_GB2312" w:hAnsi="楷体_GB2312" w:eastAsia="楷体_GB2312" w:cs="楷体_GB2312"/>
          <w:b/>
          <w:sz w:val="32"/>
          <w:szCs w:val="32"/>
          <w:lang w:eastAsia="zh-CN"/>
        </w:rPr>
        <w:t>永州市中心血站</w:t>
      </w:r>
      <w:r>
        <w:rPr>
          <w:rFonts w:hint="eastAsia" w:ascii="楷体_GB2312" w:hAnsi="楷体_GB2312" w:eastAsia="楷体_GB2312" w:cs="楷体_GB2312"/>
          <w:b/>
          <w:sz w:val="32"/>
          <w:szCs w:val="32"/>
        </w:rPr>
        <w:t>概况</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1"/>
        <w:spacing w:line="50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第二部分 2021年度部门决算表</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六、一般公共预算财政拨款基本支出决算明细表</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11"/>
        <w:spacing w:line="50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第三部分 2021年度部门决算情况说明</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九、机关运行经费支出说明</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十、一般性支出情况说明</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十一、政府采购支出说明</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pStyle w:val="11"/>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十三、2021年度预算绩效情况说明</w:t>
      </w:r>
    </w:p>
    <w:p>
      <w:pPr>
        <w:pStyle w:val="11"/>
        <w:spacing w:line="50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第四部分 名词解释</w:t>
      </w:r>
    </w:p>
    <w:p>
      <w:pPr>
        <w:pStyle w:val="11"/>
        <w:spacing w:line="50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第五部分 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 xml:space="preserve">第一部分 </w:t>
      </w:r>
    </w:p>
    <w:p>
      <w:pPr>
        <w:pStyle w:val="11"/>
        <w:jc w:val="center"/>
        <w:rPr>
          <w:sz w:val="84"/>
          <w:szCs w:val="84"/>
        </w:rPr>
      </w:pPr>
      <w:r>
        <w:rPr>
          <w:rFonts w:hint="eastAsia" w:ascii="方正小标宋_GBK" w:hAnsi="方正小标宋_GBK" w:eastAsia="方正小标宋_GBK" w:cs="方正小标宋_GBK"/>
          <w:sz w:val="72"/>
          <w:szCs w:val="72"/>
        </w:rPr>
        <w:t>永州市中心血站概况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firstLine="0" w:firstLineChars="0"/>
        <w:jc w:val="left"/>
        <w:rPr>
          <w:rFonts w:ascii="黑体" w:hAnsi="黑体" w:eastAsia="黑体"/>
          <w:sz w:val="32"/>
          <w:szCs w:val="32"/>
        </w:rPr>
      </w:pPr>
    </w:p>
    <w:p>
      <w:pPr>
        <w:pStyle w:val="12"/>
        <w:ind w:firstLine="0" w:firstLineChars="0"/>
        <w:jc w:val="left"/>
        <w:rPr>
          <w:rFonts w:ascii="黑体" w:hAnsi="黑体" w:eastAsia="黑体"/>
          <w:sz w:val="32"/>
          <w:szCs w:val="32"/>
        </w:rPr>
      </w:pPr>
    </w:p>
    <w:p>
      <w:pPr>
        <w:pStyle w:val="12"/>
        <w:ind w:firstLine="963" w:firstLineChars="300"/>
        <w:jc w:val="left"/>
        <w:rPr>
          <w:rFonts w:ascii="楷体_GB2312" w:hAnsi="楷体_GB2312" w:eastAsia="楷体_GB2312" w:cs="楷体_GB2312"/>
          <w:b/>
          <w:bCs/>
          <w:sz w:val="32"/>
          <w:szCs w:val="32"/>
        </w:rPr>
      </w:pPr>
    </w:p>
    <w:p>
      <w:pPr>
        <w:pStyle w:val="12"/>
        <w:ind w:left="0" w:leftChars="0" w:firstLine="640" w:firstLineChars="200"/>
        <w:jc w:val="left"/>
        <w:rPr>
          <w:rFonts w:ascii="黑体" w:hAnsi="黑体" w:eastAsia="黑体" w:cs="黑体"/>
          <w:sz w:val="32"/>
          <w:szCs w:val="32"/>
        </w:rPr>
      </w:pPr>
      <w:r>
        <w:rPr>
          <w:rFonts w:hint="eastAsia" w:ascii="黑体" w:hAnsi="黑体" w:eastAsia="黑体" w:cs="黑体"/>
          <w:sz w:val="32"/>
          <w:szCs w:val="32"/>
        </w:rPr>
        <w:t>一、部门职责</w:t>
      </w:r>
    </w:p>
    <w:p>
      <w:pPr>
        <w:pStyle w:val="5"/>
        <w:shd w:val="clear" w:color="auto" w:fill="FFFFFF"/>
        <w:spacing w:before="0" w:beforeAutospacing="0" w:after="0" w:afterAutospacing="0" w:line="585" w:lineRule="atLeast"/>
        <w:ind w:firstLine="645"/>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1、按照省级人民政府卫生计生行政部门的要求，在规定范围内开展无偿献血者的招募、血液的采集与制备、临床用血供应以及医疗用血的业务指导等工作；</w:t>
      </w:r>
    </w:p>
    <w:p>
      <w:pPr>
        <w:pStyle w:val="5"/>
        <w:shd w:val="clear" w:color="auto" w:fill="FFFFFF"/>
        <w:spacing w:before="0" w:beforeAutospacing="0" w:after="0" w:afterAutospacing="0"/>
        <w:ind w:firstLine="645"/>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2、承担供血区域范围内血液储存的质量控制；</w:t>
      </w:r>
    </w:p>
    <w:p>
      <w:pPr>
        <w:pStyle w:val="5"/>
        <w:shd w:val="clear" w:color="auto" w:fill="FFFFFF"/>
        <w:spacing w:before="0" w:beforeAutospacing="0" w:after="0" w:afterAutospacing="0"/>
        <w:ind w:firstLine="645"/>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3、对所在行政区域内的中心血库进行质量控制；</w:t>
      </w:r>
    </w:p>
    <w:p>
      <w:pPr>
        <w:pStyle w:val="5"/>
        <w:shd w:val="clear" w:color="auto" w:fill="FFFFFF"/>
        <w:spacing w:before="0" w:beforeAutospacing="0" w:after="0" w:afterAutospacing="0"/>
        <w:ind w:firstLine="645"/>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4、承担卫生计生行政部门交办的任务。</w:t>
      </w:r>
    </w:p>
    <w:p>
      <w:pPr>
        <w:widowControl/>
        <w:spacing w:line="600" w:lineRule="exact"/>
        <w:ind w:firstLine="640" w:firstLineChars="200"/>
        <w:rPr>
          <w:rFonts w:ascii="黑体" w:hAnsi="黑体" w:eastAsia="黑体" w:cs="黑体"/>
          <w:kern w:val="0"/>
          <w:sz w:val="32"/>
          <w:szCs w:val="32"/>
        </w:rPr>
      </w:pPr>
      <w:r>
        <w:rPr>
          <w:rFonts w:hint="eastAsia" w:ascii="黑体" w:hAnsi="黑体" w:eastAsia="黑体" w:cs="黑体"/>
          <w:sz w:val="32"/>
          <w:szCs w:val="32"/>
        </w:rPr>
        <w:t>二、机构设置及决算单位构成</w:t>
      </w:r>
    </w:p>
    <w:p>
      <w:pPr>
        <w:spacing w:line="58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kern w:val="0"/>
          <w:sz w:val="32"/>
          <w:szCs w:val="32"/>
        </w:rPr>
        <w:t>（一）内设机构设置。</w:t>
      </w:r>
      <w:r>
        <w:rPr>
          <w:rFonts w:hint="eastAsia" w:ascii="仿宋_GB2312" w:hAnsi="仿宋_GB2312" w:eastAsia="仿宋_GB2312" w:cs="仿宋_GB2312"/>
          <w:bCs/>
          <w:kern w:val="0"/>
          <w:sz w:val="32"/>
          <w:szCs w:val="32"/>
        </w:rPr>
        <w:t>永州市中心血站内设机构包括：办公室、财务科、纪检监察科、质保科教科、质量控制科、信息管理科、后勤服务科、检验管理科、成分管理科、血源管理科、宣传招募科、供血服务科12个科室。</w:t>
      </w:r>
      <w:r>
        <w:rPr>
          <w:rFonts w:hint="eastAsia" w:eastAsia="仿宋_GB2312"/>
          <w:sz w:val="32"/>
          <w:szCs w:val="32"/>
        </w:rPr>
        <w:t>本单位核定全额拨款事业编</w:t>
      </w:r>
      <w:r>
        <w:rPr>
          <w:rFonts w:hint="eastAsia" w:ascii="仿宋_GB2312" w:hAnsi="仿宋_GB2312" w:eastAsia="仿宋_GB2312" w:cs="仿宋_GB2312"/>
          <w:sz w:val="32"/>
          <w:szCs w:val="32"/>
        </w:rPr>
        <w:t>制45名。目前在编人数40名，在岗工作人员79人（含聘用人员39人）。</w:t>
      </w:r>
    </w:p>
    <w:p>
      <w:pPr>
        <w:widowControl/>
        <w:spacing w:line="600" w:lineRule="exact"/>
        <w:ind w:firstLine="642" w:firstLineChars="200"/>
        <w:rPr>
          <w:rFonts w:ascii="仿宋_GB2312" w:hAnsi="仿宋_GB2312" w:eastAsia="仿宋_GB2312" w:cs="仿宋_GB2312"/>
          <w:bCs/>
          <w:kern w:val="0"/>
          <w:sz w:val="32"/>
          <w:szCs w:val="32"/>
        </w:rPr>
      </w:pPr>
      <w:r>
        <w:rPr>
          <w:rFonts w:hint="eastAsia" w:ascii="楷体_GB2312" w:hAnsi="楷体_GB2312" w:eastAsia="楷体_GB2312" w:cs="楷体_GB2312"/>
          <w:b/>
          <w:kern w:val="0"/>
          <w:sz w:val="32"/>
          <w:szCs w:val="32"/>
        </w:rPr>
        <w:t>（二）决算单位构成。</w:t>
      </w:r>
      <w:r>
        <w:rPr>
          <w:rFonts w:hint="eastAsia" w:ascii="仿宋_GB2312" w:hAnsi="仿宋_GB2312" w:eastAsia="仿宋_GB2312" w:cs="仿宋_GB2312"/>
          <w:bCs/>
          <w:kern w:val="0"/>
          <w:sz w:val="32"/>
          <w:szCs w:val="32"/>
        </w:rPr>
        <w:t>永州市中心血站2021年部门决算汇总公开单位构成包括：永州市中心血站本级。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方正小标宋_GBK" w:hAnsi="方正小标宋_GBK" w:eastAsia="方正小标宋_GBK" w:cs="方正小标宋_GBK"/>
          <w:color w:val="000000"/>
          <w:kern w:val="0"/>
          <w:sz w:val="72"/>
          <w:szCs w:val="72"/>
        </w:rPr>
      </w:pPr>
    </w:p>
    <w:p>
      <w:pPr>
        <w:jc w:val="center"/>
        <w:rPr>
          <w:rFonts w:hint="eastAsia" w:ascii="方正小标宋_GBK" w:hAnsi="方正小标宋_GBK" w:eastAsia="方正小标宋_GBK" w:cs="方正小标宋_GBK"/>
          <w:color w:val="000000"/>
          <w:kern w:val="0"/>
          <w:sz w:val="72"/>
          <w:szCs w:val="72"/>
        </w:rPr>
      </w:pPr>
    </w:p>
    <w:p>
      <w:pPr>
        <w:jc w:val="center"/>
        <w:rPr>
          <w:rFonts w:ascii="方正小标宋_GBK" w:hAnsi="方正小标宋_GBK" w:eastAsia="方正小标宋_GBK" w:cs="方正小标宋_GBK"/>
          <w:color w:val="000000"/>
          <w:kern w:val="0"/>
          <w:sz w:val="72"/>
          <w:szCs w:val="72"/>
        </w:rPr>
      </w:pPr>
      <w:r>
        <w:rPr>
          <w:rFonts w:hint="eastAsia" w:ascii="方正小标宋_GBK" w:hAnsi="方正小标宋_GBK" w:eastAsia="方正小标宋_GBK" w:cs="方正小标宋_GBK"/>
          <w:color w:val="000000"/>
          <w:kern w:val="0"/>
          <w:sz w:val="72"/>
          <w:szCs w:val="72"/>
        </w:rPr>
        <w:t>第二部分</w:t>
      </w:r>
    </w:p>
    <w:p>
      <w:pPr>
        <w:jc w:val="center"/>
        <w:rPr>
          <w:rFonts w:ascii="方正小标宋_GBK" w:hAnsi="方正小标宋_GBK" w:eastAsia="方正小标宋_GBK" w:cs="方正小标宋_GBK"/>
          <w:color w:val="000000"/>
          <w:kern w:val="0"/>
          <w:sz w:val="72"/>
          <w:szCs w:val="72"/>
        </w:rPr>
      </w:pPr>
      <w:r>
        <w:rPr>
          <w:rFonts w:hint="eastAsia" w:ascii="方正小标宋_GBK" w:hAnsi="方正小标宋_GBK" w:eastAsia="方正小标宋_GBK" w:cs="方正小标宋_GBK"/>
          <w:color w:val="000000"/>
          <w:kern w:val="0"/>
          <w:sz w:val="72"/>
          <w:szCs w:val="72"/>
        </w:rPr>
        <w:t>部门决算表</w:t>
      </w:r>
    </w:p>
    <w:p>
      <w:pPr>
        <w:jc w:val="center"/>
        <w:rPr>
          <w:rFonts w:ascii="楷体_GB2312" w:hAnsi="楷体_GB2312" w:eastAsia="楷体_GB2312" w:cs="楷体_GB2312"/>
          <w:b/>
          <w:bCs/>
          <w:color w:val="000000"/>
          <w:kern w:val="0"/>
          <w:sz w:val="52"/>
          <w:szCs w:val="52"/>
        </w:rPr>
      </w:pPr>
      <w:r>
        <w:rPr>
          <w:rFonts w:hint="eastAsia" w:ascii="楷体_GB2312" w:hAnsi="楷体_GB2312" w:eastAsia="楷体_GB2312" w:cs="楷体_GB2312"/>
          <w:b/>
          <w:bCs/>
          <w:color w:val="000000"/>
          <w:kern w:val="0"/>
          <w:sz w:val="52"/>
          <w:szCs w:val="52"/>
        </w:rPr>
        <w:t>（详见附表）</w:t>
      </w:r>
    </w:p>
    <w:p>
      <w:pPr>
        <w:jc w:val="center"/>
        <w:rPr>
          <w:rFonts w:ascii="仿宋_GB2312" w:hAnsi="仿宋_GB2312" w:eastAsia="仿宋_GB2312" w:cs="仿宋_GB2312"/>
          <w:color w:val="000000"/>
          <w:kern w:val="0"/>
          <w:sz w:val="44"/>
          <w:szCs w:val="44"/>
        </w:rPr>
      </w:pPr>
    </w:p>
    <w:p>
      <w:pPr>
        <w:jc w:val="center"/>
        <w:rPr>
          <w:rFonts w:ascii="仿宋_GB2312" w:hAnsi="仿宋_GB2312" w:eastAsia="仿宋_GB2312" w:cs="仿宋_GB2312"/>
          <w:b/>
          <w:bCs/>
          <w:color w:val="000000"/>
          <w:kern w:val="0"/>
          <w:sz w:val="36"/>
          <w:szCs w:val="36"/>
        </w:rPr>
      </w:pPr>
    </w:p>
    <w:p>
      <w:pPr>
        <w:jc w:val="center"/>
        <w:rPr>
          <w:rFonts w:ascii="仿宋_GB2312" w:hAnsi="仿宋_GB2312" w:eastAsia="仿宋_GB2312" w:cs="仿宋_GB2312"/>
          <w:b/>
          <w:bCs/>
          <w:color w:val="000000"/>
          <w:kern w:val="0"/>
          <w:sz w:val="36"/>
          <w:szCs w:val="36"/>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rPr>
          <w:sz w:val="72"/>
          <w:szCs w:val="72"/>
        </w:rPr>
      </w:pPr>
      <w:bookmarkStart w:id="0" w:name="RANGE!A1:I22"/>
      <w:bookmarkEnd w:id="0"/>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1"/>
        <w:jc w:val="center"/>
        <w:rPr>
          <w:sz w:val="70"/>
          <w:szCs w:val="70"/>
        </w:rPr>
      </w:pPr>
      <w:r>
        <w:rPr>
          <w:rFonts w:hint="eastAsia" w:ascii="方正小标宋_GBK" w:hAnsi="方正小标宋_GBK" w:eastAsia="方正小标宋_GBK" w:cs="方正小标宋_GBK"/>
          <w:sz w:val="72"/>
          <w:szCs w:val="72"/>
        </w:rPr>
        <w:t>2021年度部门决算情况说明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ind w:firstLine="640" w:firstLineChars="200"/>
        <w:rPr>
          <w:rFonts w:hAnsi="黑体"/>
          <w:bCs/>
          <w:sz w:val="32"/>
          <w:szCs w:val="32"/>
        </w:rPr>
      </w:pPr>
      <w:r>
        <w:rPr>
          <w:rFonts w:hint="eastAsia" w:hAnsi="黑体"/>
          <w:bCs/>
          <w:sz w:val="32"/>
          <w:szCs w:val="32"/>
        </w:rPr>
        <w:t>一、收入支出决算总体情况说明</w:t>
      </w:r>
    </w:p>
    <w:p>
      <w:pPr>
        <w:pStyle w:val="11"/>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2021年度收入总计</w:t>
      </w:r>
      <w:r>
        <w:rPr>
          <w:rFonts w:hint="eastAsia" w:ascii="仿宋_GB2312" w:hAnsi="仿宋_GB2312" w:eastAsia="仿宋_GB2312" w:cs="仿宋_GB2312"/>
          <w:sz w:val="32"/>
          <w:szCs w:val="32"/>
          <w:lang w:val="en-US" w:eastAsia="zh-CN"/>
        </w:rPr>
        <w:t>1988.8</w:t>
      </w:r>
      <w:r>
        <w:rPr>
          <w:rFonts w:hint="eastAsia" w:ascii="仿宋_GB2312" w:hAnsi="仿宋_GB2312" w:eastAsia="仿宋_GB2312" w:cs="仿宋_GB2312"/>
          <w:sz w:val="32"/>
          <w:szCs w:val="32"/>
        </w:rPr>
        <w:t>万元。与上年相</w:t>
      </w:r>
      <w:r>
        <w:rPr>
          <w:rFonts w:hint="eastAsia" w:ascii="仿宋_GB2312" w:hAnsi="仿宋_GB2312" w:eastAsia="仿宋_GB2312" w:cs="仿宋_GB2312"/>
          <w:sz w:val="32"/>
          <w:szCs w:val="32"/>
          <w:highlight w:val="none"/>
        </w:rPr>
        <w:t>比，减少126.62万元，减少5.99%，主要是因为一般公共预算财政拨款收入减少96.06万元，其他收入减少30.56万元。</w:t>
      </w:r>
    </w:p>
    <w:p>
      <w:pPr>
        <w:pStyle w:val="11"/>
        <w:ind w:firstLine="640" w:firstLineChars="200"/>
        <w:rPr>
          <w:rFonts w:asciiTheme="minorEastAsia" w:hAnsiTheme="minorEastAsia" w:eastAsiaTheme="minorEastAsia"/>
          <w:sz w:val="32"/>
          <w:szCs w:val="32"/>
          <w:highlight w:val="none"/>
        </w:rPr>
      </w:pPr>
      <w:r>
        <w:rPr>
          <w:rFonts w:hint="eastAsia" w:ascii="仿宋_GB2312" w:hAnsi="仿宋_GB2312" w:eastAsia="仿宋_GB2312" w:cs="仿宋_GB2312"/>
          <w:sz w:val="32"/>
          <w:szCs w:val="32"/>
          <w:highlight w:val="none"/>
        </w:rPr>
        <w:t>2021年度支出总计</w:t>
      </w:r>
      <w:r>
        <w:rPr>
          <w:rFonts w:ascii="仿宋_GB2312" w:hAnsi="仿宋_GB2312" w:eastAsia="仿宋_GB2312" w:cs="仿宋_GB2312"/>
          <w:sz w:val="32"/>
          <w:szCs w:val="32"/>
          <w:highlight w:val="none"/>
        </w:rPr>
        <w:t>1988.8</w:t>
      </w:r>
      <w:r>
        <w:rPr>
          <w:rFonts w:hint="eastAsia" w:ascii="仿宋_GB2312" w:hAnsi="仿宋_GB2312" w:eastAsia="仿宋_GB2312" w:cs="仿宋_GB2312"/>
          <w:sz w:val="32"/>
          <w:szCs w:val="32"/>
          <w:highlight w:val="none"/>
        </w:rPr>
        <w:t>0万元。与上年相比，减少126.62万元，减少5.99%，主要是因为本年度无年末结转和结余。</w:t>
      </w:r>
    </w:p>
    <w:p>
      <w:pPr>
        <w:pStyle w:val="11"/>
        <w:ind w:firstLine="640" w:firstLineChars="200"/>
        <w:rPr>
          <w:rFonts w:hAnsi="黑体"/>
          <w:bCs/>
          <w:sz w:val="32"/>
          <w:szCs w:val="32"/>
        </w:rPr>
      </w:pPr>
      <w:r>
        <w:rPr>
          <w:rFonts w:hint="eastAsia" w:hAnsi="黑体"/>
          <w:bCs/>
          <w:sz w:val="32"/>
          <w:szCs w:val="32"/>
        </w:rPr>
        <w:t>二、收入决算情况说明</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2021年度本年收入合计</w:t>
      </w:r>
      <w:r>
        <w:rPr>
          <w:rFonts w:ascii="仿宋_GB2312" w:hAnsi="仿宋_GB2312" w:eastAsia="仿宋_GB2312" w:cs="仿宋_GB2312"/>
          <w:sz w:val="32"/>
          <w:szCs w:val="32"/>
        </w:rPr>
        <w:t>1822.74</w:t>
      </w:r>
      <w:r>
        <w:rPr>
          <w:rFonts w:hint="eastAsia" w:ascii="仿宋_GB2312" w:hAnsi="仿宋_GB2312" w:eastAsia="仿宋_GB2312" w:cs="仿宋_GB2312"/>
          <w:sz w:val="32"/>
          <w:szCs w:val="32"/>
        </w:rPr>
        <w:t>万元，其中：财政拨款收入</w:t>
      </w:r>
      <w:r>
        <w:rPr>
          <w:rFonts w:ascii="仿宋_GB2312" w:hAnsi="仿宋_GB2312" w:eastAsia="仿宋_GB2312" w:cs="仿宋_GB2312"/>
          <w:sz w:val="32"/>
          <w:szCs w:val="32"/>
        </w:rPr>
        <w:t>1820.74</w:t>
      </w:r>
      <w:r>
        <w:rPr>
          <w:rFonts w:hint="eastAsia" w:ascii="仿宋_GB2312" w:hAnsi="仿宋_GB2312" w:eastAsia="仿宋_GB2312" w:cs="仿宋_GB2312"/>
          <w:sz w:val="32"/>
          <w:szCs w:val="32"/>
        </w:rPr>
        <w:t>万元，占99.89%；上级补助收入2万元，占0.11%；事业收入0万元，占0%；经营收入0万元，占0%；附属单位上缴收入0万元，占0%；其他收入0万元，占0%。</w:t>
      </w:r>
    </w:p>
    <w:p>
      <w:pPr>
        <w:pStyle w:val="11"/>
        <w:ind w:firstLine="640" w:firstLineChars="200"/>
        <w:rPr>
          <w:rFonts w:hAnsi="黑体"/>
          <w:bCs/>
          <w:sz w:val="32"/>
          <w:szCs w:val="32"/>
        </w:rPr>
      </w:pPr>
      <w:r>
        <w:rPr>
          <w:rFonts w:hint="eastAsia" w:hAnsi="黑体"/>
          <w:bCs/>
          <w:sz w:val="32"/>
          <w:szCs w:val="32"/>
        </w:rPr>
        <w:t>三、支出决算情况说明</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2021年度本年支出合计1988.80万元，其中：基本支出</w:t>
      </w:r>
      <w:r>
        <w:rPr>
          <w:rFonts w:ascii="仿宋_GB2312" w:hAnsi="仿宋_GB2312" w:eastAsia="仿宋_GB2312" w:cs="仿宋_GB2312"/>
          <w:sz w:val="32"/>
          <w:szCs w:val="32"/>
        </w:rPr>
        <w:t>460.99</w:t>
      </w:r>
      <w:r>
        <w:rPr>
          <w:rFonts w:hint="eastAsia" w:ascii="仿宋_GB2312" w:hAnsi="仿宋_GB2312" w:eastAsia="仿宋_GB2312" w:cs="仿宋_GB2312"/>
          <w:sz w:val="32"/>
          <w:szCs w:val="32"/>
        </w:rPr>
        <w:t>万元，占23.18%；项目支出</w:t>
      </w:r>
      <w:r>
        <w:rPr>
          <w:rFonts w:ascii="仿宋_GB2312" w:hAnsi="仿宋_GB2312" w:eastAsia="仿宋_GB2312" w:cs="仿宋_GB2312"/>
          <w:sz w:val="32"/>
          <w:szCs w:val="32"/>
        </w:rPr>
        <w:t>1527.82</w:t>
      </w:r>
      <w:r>
        <w:rPr>
          <w:rFonts w:hint="eastAsia" w:ascii="仿宋_GB2312" w:hAnsi="仿宋_GB2312" w:eastAsia="仿宋_GB2312" w:cs="仿宋_GB2312"/>
          <w:sz w:val="32"/>
          <w:szCs w:val="32"/>
        </w:rPr>
        <w:t>万元，占76.82%；上缴上级支出0万元，占0%；经营支出0万元，占0%；对附属单位补助支出0万元，占0%。</w:t>
      </w:r>
    </w:p>
    <w:p>
      <w:pPr>
        <w:pStyle w:val="11"/>
        <w:ind w:firstLine="640" w:firstLineChars="200"/>
        <w:rPr>
          <w:rFonts w:hAnsi="黑体"/>
          <w:bCs/>
          <w:sz w:val="32"/>
          <w:szCs w:val="32"/>
        </w:rPr>
      </w:pPr>
      <w:r>
        <w:rPr>
          <w:rFonts w:hint="eastAsia" w:hAnsi="黑体"/>
          <w:bCs/>
          <w:sz w:val="32"/>
          <w:szCs w:val="32"/>
        </w:rPr>
        <w:t>四、财政拨款收入支出决算总体情况说明</w:t>
      </w:r>
    </w:p>
    <w:p>
      <w:pPr>
        <w:pStyle w:val="11"/>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2021年度财政拨款收入总计</w:t>
      </w:r>
      <w:r>
        <w:rPr>
          <w:rFonts w:hint="eastAsia" w:ascii="仿宋_GB2312" w:hAnsi="仿宋_GB2312" w:eastAsia="仿宋_GB2312" w:cs="仿宋_GB2312"/>
          <w:sz w:val="32"/>
          <w:szCs w:val="32"/>
          <w:lang w:val="en-US" w:eastAsia="zh-CN"/>
        </w:rPr>
        <w:t>1986.8</w:t>
      </w:r>
      <w:r>
        <w:rPr>
          <w:rFonts w:hint="eastAsia" w:ascii="仿宋_GB2312" w:hAnsi="仿宋_GB2312" w:eastAsia="仿宋_GB2312" w:cs="仿宋_GB2312"/>
          <w:sz w:val="32"/>
          <w:szCs w:val="32"/>
        </w:rPr>
        <w:t>万元，与上年相比</w:t>
      </w:r>
      <w:r>
        <w:rPr>
          <w:rFonts w:hint="eastAsia" w:ascii="仿宋_GB2312" w:hAnsi="仿宋_GB2312" w:eastAsia="仿宋_GB2312" w:cs="仿宋_GB2312"/>
          <w:sz w:val="32"/>
          <w:szCs w:val="32"/>
          <w:highlight w:val="none"/>
        </w:rPr>
        <w:t>，增加1302.94万元,增长190.53%，主要是因为2021年度已将非税收入列入了一般公共预算管理的非税收入拨款。</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2021年度财政拨款支出总计</w:t>
      </w:r>
      <w:r>
        <w:rPr>
          <w:rFonts w:ascii="仿宋_GB2312" w:hAnsi="仿宋_GB2312" w:eastAsia="仿宋_GB2312" w:cs="仿宋_GB2312"/>
          <w:sz w:val="32"/>
          <w:szCs w:val="32"/>
        </w:rPr>
        <w:t>1986.8</w:t>
      </w:r>
      <w:r>
        <w:rPr>
          <w:rFonts w:hint="eastAsia" w:ascii="仿宋_GB2312" w:hAnsi="仿宋_GB2312" w:eastAsia="仿宋_GB2312" w:cs="仿宋_GB2312"/>
          <w:sz w:val="32"/>
          <w:szCs w:val="32"/>
        </w:rPr>
        <w:t>0万元，与上年相比，增加1302.94万元,增长190.53%，主要是</w:t>
      </w:r>
      <w:r>
        <w:rPr>
          <w:rFonts w:hint="eastAsia" w:ascii="仿宋_GB2312" w:hAnsi="仿宋_GB2312" w:eastAsia="仿宋_GB2312" w:cs="仿宋_GB2312"/>
          <w:sz w:val="32"/>
          <w:szCs w:val="32"/>
          <w:lang w:eastAsia="zh-CN"/>
        </w:rPr>
        <w:t>因为</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非税收入</w:t>
      </w:r>
      <w:r>
        <w:rPr>
          <w:rFonts w:hint="eastAsia" w:ascii="仿宋_GB2312" w:hAnsi="仿宋_GB2312" w:eastAsia="仿宋_GB2312" w:cs="仿宋_GB2312"/>
          <w:sz w:val="32"/>
          <w:szCs w:val="32"/>
          <w:lang w:eastAsia="zh-CN"/>
        </w:rPr>
        <w:t>拨款</w:t>
      </w:r>
      <w:r>
        <w:rPr>
          <w:rFonts w:hint="eastAsia" w:ascii="仿宋_GB2312" w:hAnsi="仿宋_GB2312" w:eastAsia="仿宋_GB2312" w:cs="仿宋_GB2312"/>
          <w:sz w:val="32"/>
          <w:szCs w:val="32"/>
        </w:rPr>
        <w:t>已将其</w:t>
      </w:r>
      <w:r>
        <w:rPr>
          <w:rFonts w:hint="eastAsia" w:ascii="仿宋_GB2312" w:hAnsi="仿宋_GB2312" w:eastAsia="仿宋_GB2312" w:cs="仿宋_GB2312"/>
          <w:sz w:val="32"/>
          <w:szCs w:val="32"/>
          <w:lang w:eastAsia="zh-CN"/>
        </w:rPr>
        <w:t>纳</w:t>
      </w:r>
      <w:r>
        <w:rPr>
          <w:rFonts w:hint="eastAsia" w:ascii="仿宋_GB2312" w:hAnsi="仿宋_GB2312" w:eastAsia="仿宋_GB2312" w:cs="仿宋_GB2312"/>
          <w:sz w:val="32"/>
          <w:szCs w:val="32"/>
        </w:rPr>
        <w:t>入了一般公共预算财政拨款专项资金</w:t>
      </w:r>
      <w:r>
        <w:rPr>
          <w:rFonts w:hint="eastAsia" w:ascii="仿宋_GB2312" w:hAnsi="仿宋_GB2312" w:eastAsia="仿宋_GB2312" w:cs="仿宋_GB2312"/>
          <w:sz w:val="32"/>
          <w:szCs w:val="32"/>
          <w:lang w:eastAsia="zh-CN"/>
        </w:rPr>
        <w:t>支出。</w:t>
      </w:r>
    </w:p>
    <w:p>
      <w:pPr>
        <w:pStyle w:val="11"/>
        <w:ind w:firstLine="640" w:firstLineChars="200"/>
        <w:rPr>
          <w:rFonts w:hAnsi="黑体"/>
          <w:bCs/>
          <w:sz w:val="32"/>
          <w:szCs w:val="32"/>
        </w:rPr>
      </w:pPr>
      <w:r>
        <w:rPr>
          <w:rFonts w:hint="eastAsia" w:hAnsi="黑体"/>
          <w:bCs/>
          <w:sz w:val="32"/>
          <w:szCs w:val="32"/>
        </w:rPr>
        <w:t>五、 一般公共预算财政拨款支出决算情况说明</w:t>
      </w:r>
    </w:p>
    <w:p>
      <w:pPr>
        <w:pStyle w:val="11"/>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（一）财政拨款支出决算总体情况</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2021年度财政拨款支出</w:t>
      </w:r>
      <w:r>
        <w:rPr>
          <w:rFonts w:ascii="仿宋_GB2312" w:hAnsi="仿宋_GB2312" w:eastAsia="仿宋_GB2312" w:cs="仿宋_GB2312"/>
          <w:sz w:val="32"/>
          <w:szCs w:val="32"/>
        </w:rPr>
        <w:t>1986.8</w:t>
      </w:r>
      <w:r>
        <w:rPr>
          <w:rFonts w:hint="eastAsia" w:ascii="仿宋_GB2312" w:hAnsi="仿宋_GB2312" w:eastAsia="仿宋_GB2312" w:cs="仿宋_GB2312"/>
          <w:sz w:val="32"/>
          <w:szCs w:val="32"/>
        </w:rPr>
        <w:t>0万元，占本年支出合计的99.90%，与上年相比，财政拨款支出增加1317.23万元，增长196.73%，主要是因为</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eastAsia="zh-CN"/>
        </w:rPr>
        <w:t>非税收入拨款纳入了</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拨款中，</w:t>
      </w:r>
      <w:r>
        <w:rPr>
          <w:rFonts w:hint="eastAsia" w:ascii="仿宋_GB2312" w:hAnsi="仿宋_GB2312" w:eastAsia="仿宋_GB2312" w:cs="仿宋_GB2312"/>
          <w:sz w:val="32"/>
          <w:szCs w:val="32"/>
          <w:lang w:val="en-US" w:eastAsia="zh-CN"/>
        </w:rPr>
        <w:t>2020年计入事业支出</w:t>
      </w:r>
      <w:r>
        <w:rPr>
          <w:rFonts w:hint="eastAsia" w:ascii="仿宋_GB2312" w:hAnsi="仿宋_GB2312" w:eastAsia="仿宋_GB2312" w:cs="仿宋_GB2312"/>
          <w:sz w:val="32"/>
          <w:szCs w:val="32"/>
        </w:rPr>
        <w:t>。</w:t>
      </w:r>
    </w:p>
    <w:p>
      <w:pPr>
        <w:pStyle w:val="11"/>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（二）财政拨款支出决算结构情况</w:t>
      </w:r>
    </w:p>
    <w:p>
      <w:pPr>
        <w:pStyle w:val="11"/>
        <w:ind w:firstLine="640" w:firstLineChars="200"/>
        <w:rPr>
          <w:rFonts w:asciiTheme="minorEastAsia" w:hAnsiTheme="minorEastAsia" w:eastAsiaTheme="minorEastAsia"/>
          <w:color w:val="FF0000"/>
          <w:sz w:val="32"/>
          <w:szCs w:val="32"/>
        </w:rPr>
      </w:pPr>
      <w:r>
        <w:rPr>
          <w:rFonts w:hint="eastAsia" w:ascii="仿宋_GB2312" w:hAnsi="仿宋_GB2312" w:eastAsia="仿宋_GB2312" w:cs="仿宋_GB2312"/>
          <w:sz w:val="32"/>
          <w:szCs w:val="32"/>
        </w:rPr>
        <w:t>2021年度财政拨款支出</w:t>
      </w:r>
      <w:r>
        <w:rPr>
          <w:rFonts w:ascii="仿宋_GB2312" w:hAnsi="仿宋_GB2312" w:eastAsia="仿宋_GB2312" w:cs="仿宋_GB2312"/>
          <w:sz w:val="32"/>
          <w:szCs w:val="32"/>
        </w:rPr>
        <w:t>1986.80</w:t>
      </w:r>
      <w:r>
        <w:rPr>
          <w:rFonts w:hint="eastAsia" w:ascii="仿宋_GB2312" w:hAnsi="仿宋_GB2312" w:eastAsia="仿宋_GB2312" w:cs="仿宋_GB2312"/>
          <w:sz w:val="32"/>
          <w:szCs w:val="32"/>
        </w:rPr>
        <w:t>万元，主要用于以下方面：社会保障和就业支出32.47万元，占1.63%；卫生健康支出</w:t>
      </w:r>
      <w:r>
        <w:rPr>
          <w:rFonts w:ascii="仿宋_GB2312" w:hAnsi="仿宋_GB2312" w:eastAsia="仿宋_GB2312" w:cs="仿宋_GB2312"/>
          <w:sz w:val="32"/>
          <w:szCs w:val="32"/>
        </w:rPr>
        <w:t>1954.33</w:t>
      </w:r>
      <w:r>
        <w:rPr>
          <w:rFonts w:hint="eastAsia" w:ascii="仿宋_GB2312" w:hAnsi="仿宋_GB2312" w:eastAsia="仿宋_GB2312" w:cs="仿宋_GB2312"/>
          <w:sz w:val="32"/>
          <w:szCs w:val="32"/>
        </w:rPr>
        <w:t>万元，占98.37%。</w:t>
      </w:r>
    </w:p>
    <w:p>
      <w:pPr>
        <w:pStyle w:val="11"/>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（三）财政拨款支出决算具体情况</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2021年度财政拨款支出年初预算数为1688.67万元，支出决算数为</w:t>
      </w:r>
      <w:r>
        <w:rPr>
          <w:rFonts w:ascii="仿宋_GB2312" w:hAnsi="仿宋_GB2312" w:eastAsia="仿宋_GB2312" w:cs="仿宋_GB2312"/>
          <w:sz w:val="32"/>
          <w:szCs w:val="32"/>
        </w:rPr>
        <w:t>1986.80</w:t>
      </w:r>
      <w:r>
        <w:rPr>
          <w:rFonts w:hint="eastAsia" w:ascii="仿宋_GB2312" w:hAnsi="仿宋_GB2312" w:eastAsia="仿宋_GB2312" w:cs="仿宋_GB2312"/>
          <w:sz w:val="32"/>
          <w:szCs w:val="32"/>
        </w:rPr>
        <w:t>万元，完成年初预算的117.65%，其中：</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1、社会保障和就业支出（类）行政事业单位养老支出（款）机关事业单位基本养老保险缴费支出（项）。</w:t>
      </w:r>
    </w:p>
    <w:p>
      <w:pPr>
        <w:pStyle w:val="11"/>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年初预算为0万元，支出决算为32.47万元，决算数大于年初预算数的主要原因是：年初预算未安排</w:t>
      </w:r>
      <w:r>
        <w:rPr>
          <w:rFonts w:hint="eastAsia" w:ascii="仿宋_GB2312" w:hAnsi="仿宋_GB2312" w:eastAsia="仿宋_GB2312" w:cs="仿宋_GB2312"/>
          <w:sz w:val="32"/>
          <w:szCs w:val="32"/>
          <w:highlight w:val="none"/>
        </w:rPr>
        <w:t>，为年中追加安排的机关事业单位基本养老保险缴费支出。</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2、卫生健康支出（类）公共卫生（款）采供血机构（项）。</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年初预算为1688.67万元，支出决算为1839.44万元，完成年初预算的117.65%，决算数大于年初预算数的主要原因是：</w:t>
      </w:r>
      <w:r>
        <w:rPr>
          <w:rFonts w:hint="eastAsia" w:ascii="仿宋_GB2312" w:hAnsi="仿宋_GB2312" w:eastAsia="仿宋_GB2312" w:cs="仿宋_GB2312"/>
          <w:color w:val="auto"/>
          <w:sz w:val="32"/>
          <w:szCs w:val="32"/>
          <w:lang w:eastAsia="zh-CN"/>
        </w:rPr>
        <w:t>上年度结转结余资金本年度使用</w:t>
      </w:r>
      <w:r>
        <w:rPr>
          <w:rFonts w:hint="eastAsia" w:ascii="仿宋_GB2312" w:hAnsi="仿宋_GB2312" w:eastAsia="仿宋_GB2312" w:cs="仿宋_GB2312"/>
          <w:color w:val="auto"/>
          <w:sz w:val="32"/>
          <w:szCs w:val="32"/>
        </w:rPr>
        <w:t>。</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3、卫生健康支出（类）公共卫生（款）重大公共卫生服务（项）。</w:t>
      </w:r>
    </w:p>
    <w:p>
      <w:pPr>
        <w:pStyle w:val="11"/>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rPr>
        <w:t>年初预算为0万元，支出决算为93.93万元，决算数大于年初预算数的主要原因是：</w:t>
      </w:r>
      <w:r>
        <w:rPr>
          <w:rFonts w:hint="eastAsia" w:ascii="仿宋_GB2312" w:hAnsi="仿宋_GB2312" w:eastAsia="仿宋_GB2312" w:cs="仿宋_GB2312"/>
          <w:sz w:val="32"/>
          <w:szCs w:val="32"/>
        </w:rPr>
        <w:t>年初预算未安</w:t>
      </w:r>
      <w:r>
        <w:rPr>
          <w:rFonts w:hint="eastAsia" w:ascii="仿宋_GB2312" w:hAnsi="仿宋_GB2312" w:eastAsia="仿宋_GB2312" w:cs="仿宋_GB2312"/>
          <w:sz w:val="32"/>
          <w:szCs w:val="32"/>
          <w:highlight w:val="none"/>
        </w:rPr>
        <w:t>排，为年中追加安排的</w:t>
      </w:r>
      <w:r>
        <w:rPr>
          <w:rFonts w:hint="eastAsia" w:ascii="仿宋_GB2312" w:hAnsi="仿宋_GB2312" w:eastAsia="仿宋_GB2312" w:cs="仿宋_GB2312"/>
          <w:sz w:val="32"/>
          <w:szCs w:val="32"/>
          <w:highlight w:val="none"/>
          <w:lang w:eastAsia="zh-CN"/>
        </w:rPr>
        <w:t>中央补助</w:t>
      </w:r>
      <w:r>
        <w:rPr>
          <w:rFonts w:hint="eastAsia" w:ascii="仿宋_GB2312" w:hAnsi="仿宋_GB2312" w:eastAsia="仿宋_GB2312" w:cs="仿宋_GB2312"/>
          <w:sz w:val="32"/>
          <w:szCs w:val="32"/>
          <w:highlight w:val="none"/>
        </w:rPr>
        <w:t>重大公共艾滋病核酸检测资金</w:t>
      </w:r>
      <w:r>
        <w:rPr>
          <w:rFonts w:hint="eastAsia" w:ascii="仿宋_GB2312" w:hAnsi="仿宋_GB2312" w:eastAsia="仿宋_GB2312" w:cs="仿宋_GB2312"/>
          <w:sz w:val="32"/>
          <w:szCs w:val="32"/>
          <w:highlight w:val="none"/>
          <w:lang w:val="en-US" w:eastAsia="zh-CN"/>
        </w:rPr>
        <w:t>80.6万元</w:t>
      </w:r>
      <w:r>
        <w:rPr>
          <w:rFonts w:hint="eastAsia" w:ascii="仿宋_GB2312" w:hAnsi="仿宋_GB2312" w:eastAsia="仿宋_GB2312" w:cs="仿宋_GB2312"/>
          <w:sz w:val="32"/>
          <w:szCs w:val="32"/>
          <w:highlight w:val="none"/>
        </w:rPr>
        <w:t>和</w:t>
      </w:r>
      <w:r>
        <w:rPr>
          <w:rFonts w:hint="eastAsia" w:ascii="仿宋_GB2312" w:hAnsi="仿宋_GB2312" w:eastAsia="仿宋_GB2312" w:cs="仿宋_GB2312"/>
          <w:sz w:val="32"/>
          <w:szCs w:val="32"/>
          <w:highlight w:val="none"/>
          <w:lang w:eastAsia="zh-CN"/>
        </w:rPr>
        <w:t>中央补助</w:t>
      </w:r>
      <w:r>
        <w:rPr>
          <w:rFonts w:hint="eastAsia" w:ascii="仿宋_GB2312" w:hAnsi="仿宋_GB2312" w:eastAsia="仿宋_GB2312" w:cs="仿宋_GB2312"/>
          <w:sz w:val="32"/>
          <w:szCs w:val="32"/>
          <w:highlight w:val="none"/>
        </w:rPr>
        <w:t>重大公共新冠肺炎专项资金</w:t>
      </w:r>
      <w:r>
        <w:rPr>
          <w:rFonts w:hint="eastAsia" w:ascii="仿宋_GB2312" w:hAnsi="仿宋_GB2312" w:eastAsia="仿宋_GB2312" w:cs="仿宋_GB2312"/>
          <w:sz w:val="32"/>
          <w:szCs w:val="32"/>
          <w:highlight w:val="none"/>
          <w:lang w:val="en-US" w:eastAsia="zh-CN"/>
        </w:rPr>
        <w:t>13.33万</w:t>
      </w:r>
      <w:r>
        <w:rPr>
          <w:rFonts w:hint="eastAsia" w:ascii="仿宋_GB2312" w:hAnsi="仿宋_GB2312" w:eastAsia="仿宋_GB2312" w:cs="仿宋_GB2312"/>
          <w:sz w:val="32"/>
          <w:szCs w:val="32"/>
          <w:highlight w:val="none"/>
          <w:lang w:val="en-US" w:eastAsia="zh-CN"/>
        </w:rPr>
        <w:t>元</w:t>
      </w:r>
      <w:r>
        <w:rPr>
          <w:rFonts w:hint="eastAsia" w:ascii="仿宋_GB2312" w:hAnsi="仿宋_GB2312" w:eastAsia="仿宋_GB2312" w:cs="仿宋_GB2312"/>
          <w:sz w:val="32"/>
          <w:szCs w:val="32"/>
          <w:highlight w:val="none"/>
        </w:rPr>
        <w:t>。</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4、卫生健康支出（类）行政事业单位医疗（款）行政单位医疗（项）。</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年初预算为0万元，支出决算为20.96万元，决算数大于年初预算数的主要原因是：</w:t>
      </w:r>
      <w:r>
        <w:rPr>
          <w:rFonts w:hint="eastAsia" w:ascii="仿宋_GB2312" w:hAnsi="仿宋_GB2312" w:eastAsia="仿宋_GB2312" w:cs="仿宋_GB2312"/>
          <w:sz w:val="32"/>
          <w:szCs w:val="32"/>
        </w:rPr>
        <w:t>年初预算未安</w:t>
      </w:r>
      <w:r>
        <w:rPr>
          <w:rFonts w:hint="eastAsia" w:ascii="仿宋_GB2312" w:hAnsi="仿宋_GB2312" w:eastAsia="仿宋_GB2312" w:cs="仿宋_GB2312"/>
          <w:sz w:val="32"/>
          <w:szCs w:val="32"/>
          <w:highlight w:val="none"/>
        </w:rPr>
        <w:t>排，为年中追加安排的在编人员医疗保险支出。</w:t>
      </w:r>
    </w:p>
    <w:p>
      <w:pPr>
        <w:pStyle w:val="11"/>
        <w:ind w:firstLine="640" w:firstLineChars="200"/>
        <w:rPr>
          <w:rFonts w:hAnsi="黑体"/>
          <w:bCs/>
          <w:sz w:val="32"/>
          <w:szCs w:val="32"/>
        </w:rPr>
      </w:pPr>
      <w:r>
        <w:rPr>
          <w:rFonts w:hint="eastAsia" w:hAnsi="黑体"/>
          <w:bCs/>
          <w:sz w:val="32"/>
          <w:szCs w:val="32"/>
        </w:rPr>
        <w:t>六、一般公共预算财政拨款基本支出决算情况说明</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2021年度财政拨款基本支出460.99万元，其中：</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ascii="仿宋_GB2312" w:hAnsi="仿宋_GB2312" w:eastAsia="仿宋_GB2312" w:cs="仿宋_GB2312"/>
          <w:sz w:val="32"/>
          <w:szCs w:val="32"/>
        </w:rPr>
        <w:t>382.25</w:t>
      </w:r>
      <w:r>
        <w:rPr>
          <w:rFonts w:hint="eastAsia" w:ascii="仿宋_GB2312" w:hAnsi="仿宋_GB2312" w:eastAsia="仿宋_GB2312" w:cs="仿宋_GB2312"/>
          <w:sz w:val="32"/>
          <w:szCs w:val="32"/>
        </w:rPr>
        <w:t>万元，占基本支出的82.92%,主要包括基本工资、津贴补贴、绩效工资、机关事业单位基本养老保险缴费、职工基本医疗保险缴费、</w:t>
      </w:r>
      <w:r>
        <w:rPr>
          <w:rFonts w:hint="eastAsia" w:ascii="仿宋_GB2312" w:hAnsi="仿宋_GB2312" w:eastAsia="仿宋_GB2312" w:cs="仿宋_GB2312"/>
          <w:sz w:val="32"/>
          <w:szCs w:val="32"/>
          <w:lang w:eastAsia="zh-CN"/>
        </w:rPr>
        <w:t>退休人员</w:t>
      </w:r>
      <w:r>
        <w:rPr>
          <w:rFonts w:hint="eastAsia" w:ascii="仿宋_GB2312" w:hAnsi="仿宋_GB2312" w:eastAsia="仿宋_GB2312" w:cs="仿宋_GB2312"/>
          <w:sz w:val="32"/>
          <w:szCs w:val="32"/>
        </w:rPr>
        <w:t>生活补助；</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ascii="仿宋_GB2312" w:hAnsi="仿宋_GB2312" w:eastAsia="仿宋_GB2312" w:cs="仿宋_GB2312"/>
          <w:sz w:val="32"/>
          <w:szCs w:val="32"/>
        </w:rPr>
        <w:t>78.74</w:t>
      </w:r>
      <w:r>
        <w:rPr>
          <w:rFonts w:hint="eastAsia" w:ascii="仿宋_GB2312" w:hAnsi="仿宋_GB2312" w:eastAsia="仿宋_GB2312" w:cs="仿宋_GB2312"/>
          <w:sz w:val="32"/>
          <w:szCs w:val="32"/>
        </w:rPr>
        <w:t>万元，占基本支出的17.08%，主要包括办公费、水费、电费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邮电费、会议费、培训费、公务接待费、工会经费、公务用车运行维护费、税金及附加费用、其他商品和服务支出。</w:t>
      </w:r>
    </w:p>
    <w:p>
      <w:pPr>
        <w:pStyle w:val="11"/>
        <w:ind w:firstLine="640" w:firstLineChars="200"/>
        <w:rPr>
          <w:rFonts w:hAnsi="黑体"/>
          <w:bCs/>
          <w:sz w:val="32"/>
          <w:szCs w:val="32"/>
        </w:rPr>
      </w:pPr>
      <w:r>
        <w:rPr>
          <w:rFonts w:hint="eastAsia" w:hAnsi="黑体"/>
          <w:bCs/>
          <w:sz w:val="32"/>
          <w:szCs w:val="32"/>
        </w:rPr>
        <w:t>七、一般公共预算财政拨款“三公”经费支出决算情况说明</w:t>
      </w:r>
    </w:p>
    <w:p>
      <w:pPr>
        <w:pStyle w:val="11"/>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（一）“三公”经费财政拨款支出决算总体情况说明</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2021年度“三公”经费财政拨款支出预算为7.7万元，支出决算为7.7万元，完成预算的100%，其中：</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因公出国（境）费支出预算为0万元，支出决算为0万元，决算数等于预算数，与上年保持一致。</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公务接待费支出预算为1.7万元，支出决算为1.7万元，完成预算的100%，决算数等于预算数，与上年保持一致。</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公务用车购置费支出预算为0万元，支出决算为0万元，决算数等于预算数，与上年保持一致。</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公务用车运行维护费支出预算为6万元，支出决算为6万元，完成预算的100%，决算数等于预算数，与上年保持一致。</w:t>
      </w:r>
    </w:p>
    <w:p>
      <w:pPr>
        <w:pStyle w:val="11"/>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2021年度“三公”经费财政拨款支出决算中，公务接待费支出决算1.7万元，占22.08%,因公出国（境）费支出决算0万元，占0%,公务用车购置费及运行维护费支出决算6万元，占77.92%。其中：</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1、因公出国（境）费支出决算为0万元，全年安排因公出国（境）团组0个，累计0人次。2021年度我单位未开展因公出国（境）活动。</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2、公务接待费支出决算为1.7万元，</w:t>
      </w:r>
      <w:r>
        <w:rPr>
          <w:rFonts w:hint="eastAsia" w:ascii="仿宋_GB2312" w:hAnsi="仿宋_GB2312" w:eastAsia="仿宋_GB2312" w:cs="仿宋_GB2312"/>
          <w:sz w:val="32"/>
          <w:szCs w:val="32"/>
          <w:highlight w:val="none"/>
        </w:rPr>
        <w:t>全年共接待来访团组</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人次，主要是</w:t>
      </w:r>
      <w:r>
        <w:rPr>
          <w:rFonts w:hint="eastAsia" w:ascii="仿宋_GB2312" w:hAnsi="仿宋_GB2312" w:eastAsia="仿宋_GB2312" w:cs="仿宋_GB2312"/>
          <w:sz w:val="32"/>
          <w:szCs w:val="32"/>
          <w:highlight w:val="none"/>
          <w:lang w:eastAsia="zh-CN"/>
        </w:rPr>
        <w:t>市卫健委工作指导干部考察、纪检组督导检查、市审计局检查、怀化血站工作交流、省发改委成本调研、市红十字会</w:t>
      </w:r>
      <w:r>
        <w:rPr>
          <w:rFonts w:hint="eastAsia" w:ascii="仿宋_GB2312" w:hAnsi="仿宋_GB2312" w:eastAsia="仿宋_GB2312" w:cs="仿宋_GB2312"/>
          <w:sz w:val="32"/>
          <w:szCs w:val="32"/>
          <w:highlight w:val="none"/>
          <w:lang w:val="en-US" w:eastAsia="zh-CN"/>
        </w:rPr>
        <w:t>99公益日活动安排部署</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发生的接待支出。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3、公务用车购置费及运行维护费支出决算为6万元，其中：公务用车购置费0万元，本单位无更新公务用车</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公务用车运行维护费6万元，主要是公务车辆加油、维修支出，截止2021年12月31日，我单位开支财政拨款的公务用车保有量为6辆。</w:t>
      </w:r>
    </w:p>
    <w:p>
      <w:pPr>
        <w:pStyle w:val="11"/>
        <w:ind w:firstLine="640" w:firstLineChars="200"/>
        <w:rPr>
          <w:rFonts w:hAnsi="黑体"/>
          <w:b/>
          <w:sz w:val="32"/>
          <w:szCs w:val="32"/>
        </w:rPr>
      </w:pPr>
      <w:r>
        <w:rPr>
          <w:rFonts w:hint="eastAsia" w:hAnsi="黑体"/>
          <w:bCs/>
          <w:sz w:val="32"/>
          <w:szCs w:val="32"/>
        </w:rPr>
        <w:t>八、政府性基金预算收入支出决算情况</w:t>
      </w:r>
    </w:p>
    <w:p>
      <w:pPr>
        <w:pStyle w:val="11"/>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2021年度本单位无政府性基金收支。</w:t>
      </w:r>
    </w:p>
    <w:p>
      <w:pPr>
        <w:pStyle w:val="11"/>
        <w:numPr>
          <w:ilvl w:val="0"/>
          <w:numId w:val="1"/>
        </w:numPr>
        <w:ind w:firstLine="640" w:firstLineChars="200"/>
        <w:rPr>
          <w:rFonts w:hAnsi="黑体"/>
          <w:bCs/>
          <w:sz w:val="32"/>
          <w:szCs w:val="32"/>
        </w:rPr>
      </w:pPr>
      <w:r>
        <w:rPr>
          <w:rFonts w:hint="eastAsia" w:hAnsi="黑体"/>
          <w:bCs/>
          <w:sz w:val="32"/>
          <w:szCs w:val="32"/>
        </w:rPr>
        <w:t>机关运行经费支出说明</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本部门2021年度机关运行经费支出78.74万元，比上年决算数增加15.17 万元，增长23.86%。主要原因是：办公费、电费、会议费、工会经费增加。</w:t>
      </w:r>
    </w:p>
    <w:p>
      <w:pPr>
        <w:pStyle w:val="11"/>
        <w:ind w:firstLine="640" w:firstLineChars="200"/>
        <w:rPr>
          <w:rFonts w:hAnsi="黑体"/>
          <w:bCs/>
          <w:sz w:val="32"/>
          <w:szCs w:val="32"/>
        </w:rPr>
      </w:pPr>
      <w:r>
        <w:rPr>
          <w:rFonts w:hint="eastAsia" w:hAnsi="黑体"/>
          <w:bCs/>
          <w:sz w:val="32"/>
          <w:szCs w:val="32"/>
        </w:rPr>
        <w:t>十、一般性支出情况说明</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2021年本部门开支会议费</w:t>
      </w:r>
      <w:r>
        <w:rPr>
          <w:rFonts w:ascii="仿宋_GB2312" w:hAnsi="仿宋_GB2312" w:eastAsia="仿宋_GB2312" w:cs="仿宋_GB2312"/>
          <w:sz w:val="32"/>
          <w:szCs w:val="32"/>
        </w:rPr>
        <w:t>3.83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用于召开</w:t>
      </w:r>
      <w:r>
        <w:rPr>
          <w:rFonts w:hint="eastAsia" w:ascii="仿宋_GB2312" w:hAnsi="仿宋_GB2312" w:eastAsia="仿宋_GB2312" w:cs="仿宋_GB2312"/>
          <w:sz w:val="32"/>
          <w:szCs w:val="32"/>
          <w:highlight w:val="none"/>
          <w:lang w:eastAsia="zh-CN"/>
        </w:rPr>
        <w:t>业务会议</w:t>
      </w:r>
      <w:r>
        <w:rPr>
          <w:rFonts w:hint="eastAsia" w:ascii="仿宋_GB2312" w:hAnsi="仿宋_GB2312" w:eastAsia="仿宋_GB2312" w:cs="仿宋_GB2312"/>
          <w:sz w:val="32"/>
          <w:szCs w:val="32"/>
          <w:highlight w:val="none"/>
        </w:rPr>
        <w:t>，人数</w:t>
      </w:r>
      <w:r>
        <w:rPr>
          <w:rFonts w:hint="eastAsia" w:ascii="仿宋_GB2312" w:hAnsi="仿宋_GB2312" w:eastAsia="仿宋_GB2312" w:cs="仿宋_GB2312"/>
          <w:sz w:val="32"/>
          <w:szCs w:val="32"/>
          <w:highlight w:val="none"/>
          <w:lang w:val="en-US" w:eastAsia="zh-CN"/>
        </w:rPr>
        <w:t>200余</w:t>
      </w:r>
      <w:r>
        <w:rPr>
          <w:rFonts w:hint="eastAsia" w:ascii="仿宋_GB2312" w:hAnsi="仿宋_GB2312" w:eastAsia="仿宋_GB2312" w:cs="仿宋_GB2312"/>
          <w:sz w:val="32"/>
          <w:szCs w:val="32"/>
          <w:highlight w:val="none"/>
        </w:rPr>
        <w:t>人，内容为</w:t>
      </w:r>
      <w:r>
        <w:rPr>
          <w:rFonts w:hint="eastAsia" w:ascii="仿宋_GB2312" w:hAnsi="仿宋_GB2312" w:eastAsia="仿宋_GB2312" w:cs="仿宋_GB2312"/>
          <w:sz w:val="32"/>
          <w:szCs w:val="32"/>
          <w:highlight w:val="none"/>
          <w:lang w:eastAsia="zh-CN"/>
        </w:rPr>
        <w:t>全市无偿献血工作</w:t>
      </w:r>
      <w:r>
        <w:rPr>
          <w:rFonts w:hint="eastAsia" w:ascii="仿宋_GB2312" w:hAnsi="仿宋_GB2312" w:eastAsia="仿宋_GB2312" w:cs="仿宋_GB2312"/>
          <w:sz w:val="32"/>
          <w:szCs w:val="32"/>
          <w:highlight w:val="none"/>
        </w:rPr>
        <w:t>会议</w:t>
      </w:r>
      <w:r>
        <w:rPr>
          <w:rFonts w:hint="eastAsia" w:ascii="仿宋_GB2312" w:hAnsi="仿宋_GB2312" w:eastAsia="仿宋_GB2312" w:cs="仿宋_GB2312"/>
          <w:sz w:val="32"/>
          <w:szCs w:val="32"/>
          <w:highlight w:val="none"/>
          <w:lang w:eastAsia="zh-CN"/>
        </w:rPr>
        <w:t>、临床用血指导工作会议、</w:t>
      </w:r>
      <w:r>
        <w:rPr>
          <w:rFonts w:hint="eastAsia" w:ascii="仿宋_GB2312" w:hAnsi="仿宋_GB2312" w:eastAsia="仿宋_GB2312" w:cs="仿宋_GB2312"/>
          <w:sz w:val="32"/>
          <w:szCs w:val="32"/>
          <w:highlight w:val="none"/>
          <w:lang w:val="en-US" w:eastAsia="zh-CN"/>
        </w:rPr>
        <w:t>6.14</w:t>
      </w:r>
      <w:r>
        <w:rPr>
          <w:rFonts w:hint="eastAsia" w:ascii="仿宋_GB2312" w:hAnsi="仿宋_GB2312" w:eastAsia="仿宋_GB2312" w:cs="仿宋_GB2312"/>
          <w:sz w:val="32"/>
          <w:szCs w:val="32"/>
          <w:highlight w:val="none"/>
          <w:lang w:eastAsia="zh-CN"/>
        </w:rPr>
        <w:t>无偿献血表彰会议等；</w:t>
      </w:r>
      <w:r>
        <w:rPr>
          <w:rFonts w:hint="eastAsia" w:ascii="仿宋_GB2312" w:hAnsi="仿宋_GB2312" w:eastAsia="仿宋_GB2312" w:cs="仿宋_GB2312"/>
          <w:sz w:val="32"/>
          <w:szCs w:val="32"/>
        </w:rPr>
        <w:t>开支培训费0.38万元，</w:t>
      </w:r>
      <w:r>
        <w:rPr>
          <w:rFonts w:hint="eastAsia" w:ascii="仿宋_GB2312" w:hAnsi="仿宋_GB2312" w:eastAsia="仿宋_GB2312" w:cs="仿宋_GB2312"/>
          <w:sz w:val="32"/>
          <w:szCs w:val="32"/>
          <w:highlight w:val="none"/>
        </w:rPr>
        <w:t>用于开展</w:t>
      </w:r>
      <w:r>
        <w:rPr>
          <w:rFonts w:hint="eastAsia" w:ascii="仿宋_GB2312" w:hAnsi="仿宋_GB2312" w:eastAsia="仿宋_GB2312" w:cs="仿宋_GB2312"/>
          <w:sz w:val="32"/>
          <w:szCs w:val="32"/>
          <w:highlight w:val="none"/>
          <w:lang w:eastAsia="zh-CN"/>
        </w:rPr>
        <w:t>政府采购</w:t>
      </w:r>
      <w:r>
        <w:rPr>
          <w:rFonts w:hint="eastAsia" w:ascii="仿宋_GB2312" w:hAnsi="仿宋_GB2312" w:eastAsia="仿宋_GB2312" w:cs="仿宋_GB2312"/>
          <w:sz w:val="32"/>
          <w:szCs w:val="32"/>
          <w:highlight w:val="none"/>
        </w:rPr>
        <w:t>培训，人数</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人，内容为</w:t>
      </w:r>
      <w:r>
        <w:rPr>
          <w:rFonts w:hint="eastAsia" w:ascii="仿宋_GB2312" w:hAnsi="仿宋_GB2312" w:eastAsia="仿宋_GB2312" w:cs="仿宋_GB2312"/>
          <w:sz w:val="32"/>
          <w:szCs w:val="32"/>
          <w:highlight w:val="none"/>
          <w:lang w:eastAsia="zh-CN"/>
        </w:rPr>
        <w:t>学习政府采集相关内容</w:t>
      </w:r>
      <w:r>
        <w:rPr>
          <w:rFonts w:hint="eastAsia" w:ascii="仿宋_GB2312" w:hAnsi="仿宋_GB2312" w:eastAsia="仿宋_GB2312" w:cs="仿宋_GB2312"/>
          <w:sz w:val="32"/>
          <w:szCs w:val="32"/>
          <w:highlight w:val="none"/>
        </w:rPr>
        <w:t>；未举办节庆、晚会、论坛、赛事等活动。</w:t>
      </w:r>
    </w:p>
    <w:p>
      <w:pPr>
        <w:pStyle w:val="11"/>
        <w:ind w:firstLine="640" w:firstLineChars="200"/>
        <w:rPr>
          <w:rFonts w:hAnsi="黑体"/>
          <w:bCs/>
          <w:sz w:val="32"/>
          <w:szCs w:val="32"/>
        </w:rPr>
      </w:pPr>
      <w:r>
        <w:rPr>
          <w:rFonts w:hint="eastAsia" w:hAnsi="黑体"/>
          <w:bCs/>
          <w:sz w:val="32"/>
          <w:szCs w:val="32"/>
        </w:rPr>
        <w:t>十一、政府采购支出说明</w:t>
      </w:r>
    </w:p>
    <w:p>
      <w:pPr>
        <w:pStyle w:val="11"/>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本部门2021年度政府采购支出总额</w:t>
      </w:r>
      <w:r>
        <w:rPr>
          <w:rFonts w:hint="eastAsia" w:ascii="仿宋_GB2312" w:hAnsi="仿宋_GB2312" w:eastAsia="仿宋_GB2312" w:cs="仿宋_GB2312"/>
          <w:sz w:val="32"/>
          <w:szCs w:val="32"/>
          <w:highlight w:val="none"/>
          <w:lang w:val="en-US" w:eastAsia="zh-CN"/>
        </w:rPr>
        <w:t>936.93</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rPr>
        <w:t>其中：政府采购货物支出</w:t>
      </w:r>
      <w:r>
        <w:rPr>
          <w:rFonts w:hint="eastAsia" w:ascii="仿宋_GB2312" w:hAnsi="仿宋_GB2312" w:eastAsia="仿宋_GB2312" w:cs="仿宋_GB2312"/>
          <w:sz w:val="32"/>
          <w:szCs w:val="32"/>
          <w:highlight w:val="none"/>
          <w:lang w:val="en-US" w:eastAsia="zh-CN"/>
        </w:rPr>
        <w:t>867</w:t>
      </w:r>
      <w:r>
        <w:rPr>
          <w:rFonts w:hint="eastAsia" w:ascii="仿宋_GB2312" w:hAnsi="仿宋_GB2312" w:eastAsia="仿宋_GB2312" w:cs="仿宋_GB2312"/>
          <w:sz w:val="32"/>
          <w:szCs w:val="32"/>
          <w:highlight w:val="none"/>
        </w:rPr>
        <w:t>万元、政府采购工程支出0万元、政府采购服务支出</w:t>
      </w:r>
      <w:r>
        <w:rPr>
          <w:rFonts w:hint="eastAsia" w:ascii="仿宋_GB2312" w:hAnsi="仿宋_GB2312" w:eastAsia="仿宋_GB2312" w:cs="仿宋_GB2312"/>
          <w:sz w:val="32"/>
          <w:szCs w:val="32"/>
          <w:highlight w:val="none"/>
          <w:lang w:val="en-US" w:eastAsia="zh-CN"/>
        </w:rPr>
        <w:t>69.93</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501.93</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53.57</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423</w:t>
      </w:r>
      <w:r>
        <w:rPr>
          <w:rFonts w:hint="eastAsia" w:ascii="仿宋_GB2312" w:hAnsi="仿宋_GB2312" w:eastAsia="仿宋_GB2312" w:cs="仿宋_GB2312"/>
          <w:sz w:val="32"/>
          <w:szCs w:val="32"/>
          <w:highlight w:val="none"/>
        </w:rPr>
        <w:t>万元，占授予中小企业合同金额的</w:t>
      </w:r>
      <w:r>
        <w:rPr>
          <w:rFonts w:hint="eastAsia" w:ascii="仿宋_GB2312" w:hAnsi="仿宋_GB2312" w:eastAsia="仿宋_GB2312" w:cs="仿宋_GB2312"/>
          <w:sz w:val="32"/>
          <w:szCs w:val="32"/>
          <w:highlight w:val="none"/>
          <w:lang w:val="en-US" w:eastAsia="zh-CN"/>
        </w:rPr>
        <w:t>84.27</w:t>
      </w:r>
      <w:r>
        <w:rPr>
          <w:rFonts w:hint="eastAsia" w:ascii="仿宋_GB2312" w:hAnsi="仿宋_GB2312" w:eastAsia="仿宋_GB2312" w:cs="仿宋_GB2312"/>
          <w:sz w:val="32"/>
          <w:szCs w:val="32"/>
          <w:highlight w:val="none"/>
        </w:rPr>
        <w:t>%；货物采购授予中小企业合同金额占货物支出金额的</w:t>
      </w:r>
      <w:r>
        <w:rPr>
          <w:rFonts w:hint="eastAsia" w:ascii="仿宋_GB2312" w:hAnsi="仿宋_GB2312" w:eastAsia="仿宋_GB2312" w:cs="仿宋_GB2312"/>
          <w:sz w:val="32"/>
          <w:szCs w:val="32"/>
          <w:highlight w:val="none"/>
          <w:lang w:val="en-US" w:eastAsia="zh-CN"/>
        </w:rPr>
        <w:t>84</w:t>
      </w:r>
      <w:r>
        <w:rPr>
          <w:rFonts w:hint="eastAsia" w:ascii="仿宋_GB2312" w:hAnsi="仿宋_GB2312" w:eastAsia="仿宋_GB2312" w:cs="仿宋_GB2312"/>
          <w:sz w:val="32"/>
          <w:szCs w:val="32"/>
          <w:highlight w:val="none"/>
        </w:rPr>
        <w:t>%，工程采购授予中小企业合同金额占工程支出金额的0%，服务采购授予中小企业合同金额占服务支出金额的</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w:t>
      </w:r>
    </w:p>
    <w:p>
      <w:pPr>
        <w:pStyle w:val="11"/>
        <w:ind w:firstLine="640" w:firstLineChars="200"/>
        <w:rPr>
          <w:rFonts w:hAnsi="黑体"/>
          <w:bCs/>
          <w:sz w:val="32"/>
          <w:szCs w:val="32"/>
        </w:rPr>
      </w:pPr>
      <w:r>
        <w:rPr>
          <w:rFonts w:hint="eastAsia" w:hAnsi="黑体"/>
          <w:bCs/>
          <w:sz w:val="32"/>
          <w:szCs w:val="32"/>
        </w:rPr>
        <w:t>十二、国有资产占用情况说明</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截至2021年12月31日，本单位共有车辆6辆，其中，主要领导干部用车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辆、其他用车6辆，</w:t>
      </w:r>
      <w:r>
        <w:rPr>
          <w:rFonts w:hint="eastAsia" w:ascii="仿宋_GB2312" w:hAnsi="仿宋_GB2312" w:eastAsia="仿宋_GB2312" w:cs="仿宋_GB2312"/>
          <w:sz w:val="32"/>
          <w:szCs w:val="32"/>
          <w:highlight w:val="none"/>
        </w:rPr>
        <w:t>其他用车主要是</w:t>
      </w:r>
      <w:r>
        <w:rPr>
          <w:rFonts w:hint="eastAsia" w:ascii="仿宋_GB2312" w:hAnsi="仿宋_GB2312" w:eastAsia="仿宋_GB2312" w:cs="仿宋_GB2312"/>
          <w:sz w:val="32"/>
          <w:szCs w:val="32"/>
          <w:highlight w:val="none"/>
          <w:lang w:eastAsia="zh-CN"/>
        </w:rPr>
        <w:t>用于</w:t>
      </w:r>
      <w:r>
        <w:rPr>
          <w:rFonts w:hint="eastAsia" w:ascii="仿宋_GB2312" w:hAnsi="仿宋_GB2312" w:eastAsia="仿宋_GB2312" w:cs="仿宋_GB2312"/>
          <w:sz w:val="32"/>
          <w:szCs w:val="32"/>
          <w:highlight w:val="none"/>
        </w:rPr>
        <w:t>采血和送血；单</w:t>
      </w:r>
      <w:r>
        <w:rPr>
          <w:rFonts w:hint="eastAsia" w:ascii="仿宋_GB2312" w:hAnsi="仿宋_GB2312" w:eastAsia="仿宋_GB2312" w:cs="仿宋_GB2312"/>
          <w:sz w:val="32"/>
          <w:szCs w:val="32"/>
        </w:rPr>
        <w:t>位价值50万元以上通用设备2台（套）；单位价值100万元以上专用设备9台（套）。</w:t>
      </w:r>
    </w:p>
    <w:p>
      <w:pPr>
        <w:pStyle w:val="11"/>
        <w:ind w:firstLine="640" w:firstLineChars="200"/>
        <w:rPr>
          <w:rFonts w:hint="eastAsia" w:hAnsi="黑体"/>
          <w:bCs/>
          <w:sz w:val="32"/>
          <w:szCs w:val="32"/>
        </w:rPr>
      </w:pPr>
      <w:r>
        <w:rPr>
          <w:rFonts w:hint="eastAsia" w:hAnsi="黑体"/>
          <w:bCs/>
          <w:sz w:val="32"/>
          <w:szCs w:val="32"/>
        </w:rPr>
        <w:t>十三、2021年度预算绩效情况说明</w:t>
      </w:r>
    </w:p>
    <w:p>
      <w:pPr>
        <w:autoSpaceDE w:val="0"/>
        <w:autoSpaceDN w:val="0"/>
        <w:adjustRightInd w:val="0"/>
        <w:ind w:firstLine="640" w:firstLineChars="200"/>
        <w:jc w:val="left"/>
        <w:rPr>
          <w:rFonts w:hint="eastAsia" w:hAnsi="黑体" w:eastAsia="黑体"/>
          <w:bCs/>
          <w:sz w:val="32"/>
          <w:szCs w:val="32"/>
          <w:lang w:val="en-US" w:eastAsia="zh-CN"/>
        </w:rPr>
      </w:pPr>
      <w:r>
        <w:rPr>
          <w:rFonts w:hint="eastAsia" w:ascii="楷体_GB2312" w:hAnsi="楷体_GB2312" w:eastAsia="楷体_GB2312" w:cs="楷体_GB2312"/>
          <w:b/>
          <w:color w:val="000000"/>
          <w:kern w:val="0"/>
          <w:sz w:val="32"/>
          <w:szCs w:val="32"/>
        </w:rPr>
        <w:t>（1）绩效管理评价工作开展情况</w:t>
      </w:r>
      <w:r>
        <w:rPr>
          <w:rFonts w:hint="eastAsia" w:ascii="楷体_GB2312" w:hAnsi="楷体_GB2312" w:eastAsia="楷体_GB2312" w:cs="楷体_GB2312"/>
          <w:color w:val="000000"/>
          <w:kern w:val="0"/>
          <w:sz w:val="32"/>
          <w:szCs w:val="32"/>
        </w:rPr>
        <w:t>。</w:t>
      </w:r>
    </w:p>
    <w:p>
      <w:pPr>
        <w:autoSpaceDE w:val="0"/>
        <w:autoSpaceDN w:val="0"/>
        <w:adjustRightInd w:val="0"/>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根据预算绩效管理要求，我部门（单位）组织对2021年度一般公共预算项目支出全面开展绩效自评，其中，一级项目2个，二级项目0个，共涉及资金1274万元，占一般公共预算项目支出总额的83.50%。组织对2021年度0个政府性基金预算项目支出开展绩效自评，共涉及资金0万元，占政府性基金预算项目支出总额的0%。组织对2021年度0个国有资本经营预算项目支出开展绩效自评，共涉及资金0万元，占国有资本经营预算项目支出总额的0%。</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本单位无所属二级单位，已开展项目绩效自评，无需开展部门评价。</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highlight w:val="yellow"/>
        </w:rPr>
      </w:pPr>
      <w:r>
        <w:rPr>
          <w:rFonts w:hint="eastAsia" w:ascii="仿宋_GB2312" w:hAnsi="仿宋_GB2312" w:eastAsia="仿宋_GB2312" w:cs="仿宋_GB2312"/>
          <w:color w:val="000000"/>
          <w:kern w:val="0"/>
          <w:sz w:val="32"/>
          <w:szCs w:val="32"/>
          <w:highlight w:val="none"/>
        </w:rPr>
        <w:t>组织对永州市中心血站等1个单位开展整体支出绩效评价，涉及一般公共预算支出1986.80万元，政府性基金预算支出0万元。从评价情况来看，已完成年度总体目标，按照政府预算控制支出；无偿献血比例100%；年度采血量10.75吨；出库产品血液检测合格率100%。</w:t>
      </w:r>
    </w:p>
    <w:p>
      <w:pPr>
        <w:autoSpaceDE w:val="0"/>
        <w:autoSpaceDN w:val="0"/>
        <w:adjustRightInd w:val="0"/>
        <w:ind w:firstLine="640" w:firstLineChars="200"/>
        <w:jc w:val="left"/>
        <w:rPr>
          <w:rFonts w:ascii="仿宋_GB2312" w:hAnsi="仿宋_GB2312" w:eastAsia="仿宋_GB2312" w:cs="仿宋_GB2312"/>
          <w:b/>
          <w:color w:val="000000"/>
          <w:kern w:val="0"/>
          <w:sz w:val="32"/>
          <w:szCs w:val="32"/>
          <w:highlight w:val="none"/>
        </w:rPr>
      </w:pPr>
      <w:r>
        <w:rPr>
          <w:rFonts w:hint="eastAsia" w:ascii="仿宋_GB2312" w:hAnsi="仿宋_GB2312" w:eastAsia="仿宋_GB2312" w:cs="仿宋_GB2312"/>
          <w:b/>
          <w:color w:val="000000"/>
          <w:kern w:val="0"/>
          <w:sz w:val="32"/>
          <w:szCs w:val="32"/>
          <w:highlight w:val="none"/>
        </w:rPr>
        <w:t>（2）部门决算中项目绩效自评结果。</w:t>
      </w:r>
    </w:p>
    <w:p>
      <w:pPr>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纳入一般公共预算管理的非税收入项目绩效自评综述：根据年初设定的绩效目标，项目绩效自评得分为</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分。项目全年预算数为1224万元，执行数为1224万元，完成预算的100%。项目绩效目标完成情况：2021年拨入1224万元纳入一般公共预算管理的非税收入用于满足2021年全市临床医疗用血需求，实际非税成本支出为1224万元。发现的主要问题及原因：</w:t>
      </w:r>
      <w:r>
        <w:rPr>
          <w:rFonts w:hint="eastAsia" w:ascii="仿宋_GB2312" w:hAnsi="仿宋_GB2312" w:eastAsia="仿宋_GB2312" w:cs="仿宋_GB2312"/>
          <w:color w:val="000000"/>
          <w:kern w:val="0"/>
          <w:sz w:val="32"/>
          <w:szCs w:val="32"/>
          <w:highlight w:val="none"/>
        </w:rPr>
        <w:t>财政</w:t>
      </w:r>
      <w:r>
        <w:rPr>
          <w:rFonts w:hint="eastAsia" w:ascii="仿宋_GB2312" w:hAnsi="仿宋_GB2312" w:eastAsia="仿宋_GB2312" w:cs="仿宋_GB2312"/>
          <w:color w:val="000000"/>
          <w:kern w:val="0"/>
          <w:sz w:val="32"/>
          <w:szCs w:val="32"/>
          <w:highlight w:val="none"/>
          <w:lang w:eastAsia="zh-CN"/>
        </w:rPr>
        <w:t>按非税收入征收计划总额的</w:t>
      </w:r>
      <w:r>
        <w:rPr>
          <w:rFonts w:hint="eastAsia" w:ascii="仿宋_GB2312" w:hAnsi="仿宋_GB2312" w:eastAsia="仿宋_GB2312" w:cs="仿宋_GB2312"/>
          <w:color w:val="000000"/>
          <w:kern w:val="0"/>
          <w:sz w:val="32"/>
          <w:szCs w:val="32"/>
          <w:highlight w:val="none"/>
          <w:lang w:val="en-US" w:eastAsia="zh-CN"/>
        </w:rPr>
        <w:t>28%调控非税</w:t>
      </w:r>
      <w:r>
        <w:rPr>
          <w:rFonts w:hint="eastAsia" w:ascii="仿宋_GB2312" w:hAnsi="仿宋_GB2312" w:eastAsia="仿宋_GB2312" w:cs="仿宋_GB2312"/>
          <w:color w:val="000000"/>
          <w:kern w:val="0"/>
          <w:sz w:val="32"/>
          <w:szCs w:val="32"/>
          <w:highlight w:val="none"/>
          <w:lang w:eastAsia="zh-CN"/>
        </w:rPr>
        <w:t>成本</w:t>
      </w:r>
      <w:r>
        <w:rPr>
          <w:rFonts w:hint="eastAsia" w:ascii="仿宋_GB2312" w:hAnsi="仿宋_GB2312" w:eastAsia="仿宋_GB2312" w:cs="仿宋_GB2312"/>
          <w:color w:val="000000"/>
          <w:kern w:val="0"/>
          <w:sz w:val="32"/>
          <w:szCs w:val="32"/>
          <w:highlight w:val="none"/>
        </w:rPr>
        <w:t>资金</w:t>
      </w:r>
      <w:r>
        <w:rPr>
          <w:rFonts w:hint="eastAsia" w:ascii="仿宋_GB2312" w:hAnsi="仿宋_GB2312" w:eastAsia="仿宋_GB2312" w:cs="仿宋_GB2312"/>
          <w:color w:val="000000"/>
          <w:kern w:val="0"/>
          <w:sz w:val="32"/>
          <w:szCs w:val="32"/>
          <w:highlight w:val="none"/>
          <w:lang w:eastAsia="zh-CN"/>
        </w:rPr>
        <w:t>，预算安排不足，年末应付账款累积</w:t>
      </w:r>
      <w:r>
        <w:rPr>
          <w:rFonts w:hint="eastAsia" w:ascii="仿宋_GB2312" w:hAnsi="仿宋_GB2312" w:eastAsia="仿宋_GB2312" w:cs="仿宋_GB2312"/>
          <w:color w:val="000000"/>
          <w:kern w:val="0"/>
          <w:sz w:val="32"/>
          <w:szCs w:val="32"/>
          <w:highlight w:val="none"/>
          <w:lang w:val="en-US" w:eastAsia="zh-CN"/>
        </w:rPr>
        <w:t>400余万元</w:t>
      </w:r>
      <w:r>
        <w:rPr>
          <w:rFonts w:hint="eastAsia" w:ascii="仿宋_GB2312" w:hAnsi="仿宋_GB2312" w:eastAsia="仿宋_GB2312" w:cs="仿宋_GB2312"/>
          <w:color w:val="000000"/>
          <w:kern w:val="0"/>
          <w:sz w:val="32"/>
          <w:szCs w:val="32"/>
          <w:highlight w:val="none"/>
        </w:rPr>
        <w:t>。下</w:t>
      </w:r>
      <w:bookmarkStart w:id="1" w:name="_GoBack"/>
      <w:bookmarkEnd w:id="1"/>
      <w:r>
        <w:rPr>
          <w:rFonts w:hint="eastAsia" w:ascii="仿宋_GB2312" w:hAnsi="仿宋_GB2312" w:eastAsia="仿宋_GB2312" w:cs="仿宋_GB2312"/>
          <w:color w:val="000000"/>
          <w:kern w:val="0"/>
          <w:sz w:val="32"/>
          <w:szCs w:val="32"/>
          <w:highlight w:val="none"/>
        </w:rPr>
        <w:t>一步改进措施：建议</w:t>
      </w:r>
      <w:r>
        <w:rPr>
          <w:rFonts w:hint="eastAsia" w:ascii="仿宋_GB2312" w:hAnsi="仿宋_GB2312" w:eastAsia="仿宋_GB2312" w:cs="仿宋_GB2312"/>
          <w:color w:val="000000"/>
          <w:kern w:val="0"/>
          <w:sz w:val="32"/>
          <w:szCs w:val="32"/>
          <w:highlight w:val="none"/>
          <w:lang w:eastAsia="zh-CN"/>
        </w:rPr>
        <w:t>增加</w:t>
      </w:r>
      <w:r>
        <w:rPr>
          <w:rFonts w:hint="eastAsia" w:ascii="仿宋_GB2312" w:hAnsi="仿宋_GB2312" w:eastAsia="仿宋_GB2312" w:cs="仿宋_GB2312"/>
          <w:color w:val="000000"/>
          <w:kern w:val="0"/>
          <w:sz w:val="32"/>
          <w:szCs w:val="32"/>
          <w:highlight w:val="none"/>
        </w:rPr>
        <w:t>非税收入</w:t>
      </w:r>
      <w:r>
        <w:rPr>
          <w:rFonts w:hint="eastAsia" w:ascii="仿宋_GB2312" w:hAnsi="仿宋_GB2312" w:eastAsia="仿宋_GB2312" w:cs="仿宋_GB2312"/>
          <w:color w:val="000000"/>
          <w:kern w:val="0"/>
          <w:sz w:val="32"/>
          <w:szCs w:val="32"/>
          <w:highlight w:val="none"/>
          <w:lang w:eastAsia="zh-CN"/>
        </w:rPr>
        <w:t>成本预算</w:t>
      </w:r>
      <w:r>
        <w:rPr>
          <w:rFonts w:hint="eastAsia" w:ascii="仿宋_GB2312" w:hAnsi="仿宋_GB2312" w:eastAsia="仿宋_GB2312" w:cs="仿宋_GB2312"/>
          <w:color w:val="000000"/>
          <w:kern w:val="0"/>
          <w:sz w:val="32"/>
          <w:szCs w:val="32"/>
          <w:highlight w:val="none"/>
        </w:rPr>
        <w:t>投入。</w:t>
      </w:r>
    </w:p>
    <w:p>
      <w:pPr>
        <w:spacing w:line="580" w:lineRule="exact"/>
        <w:ind w:firstLine="640"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无偿献血返还基金项目绩效自评综述：根据年初设定的绩效目标，项目绩效自评得分为100分。项目全年预算数为50万元，执行数为50万元，完成预算的100%。项目绩效目标完成情况：保障了无偿献血者本人及亲属用血费用报销。发现的主要问题及原因：随着2020年8月份湖南省实行无偿献血返还网络直报以来，无偿献血返还报销额逐年递增，2021年较2019年增长了117.55%增长额25.07万元，2021年较2020年增长了30.82%</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增长额10.93万元。预计2022年无偿献血返还者报销额约60万元，财政拨入的经费不足以支付。下一步改进措施：继续加强我市无偿献血宣传及招募等工作，提高千人口献血率和固定献血者比例，满足临床用血需求；做好血站实验室质量控制，提高血液检测质量；加强偏远地区供血能力，提高送血储血能力，提高城市采供血能力，保证临床用血需求，采血量较上年增加，储血运行正常有序；巩固血站核酸检测全覆盖，提高血液安全水平，核酸检测覆盖率达100%，完成国家下达的其他病毒检测任务。</w:t>
      </w:r>
    </w:p>
    <w:p>
      <w:pPr>
        <w:autoSpaceDE w:val="0"/>
        <w:autoSpaceDN w:val="0"/>
        <w:adjustRightInd w:val="0"/>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b/>
          <w:color w:val="000000"/>
          <w:kern w:val="0"/>
          <w:sz w:val="32"/>
          <w:szCs w:val="32"/>
          <w:highlight w:val="none"/>
        </w:rPr>
        <w:t>（3）部门评价项目绩效评价结果。</w:t>
      </w:r>
    </w:p>
    <w:p>
      <w:pPr>
        <w:autoSpaceDE w:val="0"/>
        <w:autoSpaceDN w:val="0"/>
        <w:adjustRightInd w:val="0"/>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kern w:val="0"/>
          <w:sz w:val="32"/>
          <w:szCs w:val="32"/>
          <w:highlight w:val="none"/>
          <w:lang w:val="en"/>
        </w:rPr>
        <w:t>本单位无所属二级单位，已开展项目绩效自评，无需开展部门评价，因此无</w:t>
      </w:r>
      <w:r>
        <w:rPr>
          <w:rFonts w:hint="eastAsia" w:ascii="仿宋_GB2312" w:hAnsi="仿宋_GB2312" w:eastAsia="仿宋_GB2312" w:cs="仿宋_GB2312"/>
          <w:kern w:val="0"/>
          <w:sz w:val="32"/>
          <w:szCs w:val="32"/>
          <w:highlight w:val="none"/>
        </w:rPr>
        <w:t>部门评价项目绩效评价结果。</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highlight w:val="yellow"/>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jc w:val="both"/>
        <w:rPr>
          <w:rFonts w:ascii="方正小标宋_GBK" w:hAnsi="方正小标宋_GBK" w:eastAsia="方正小标宋_GBK" w:cs="方正小标宋_GBK"/>
          <w:sz w:val="72"/>
          <w:szCs w:val="72"/>
        </w:rPr>
      </w:pPr>
    </w:p>
    <w:p>
      <w:pPr>
        <w:pStyle w:val="11"/>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pStyle w:val="11"/>
        <w:jc w:val="center"/>
        <w:rPr>
          <w:sz w:val="70"/>
          <w:szCs w:val="70"/>
        </w:rPr>
      </w:pPr>
      <w:r>
        <w:rPr>
          <w:rFonts w:hint="eastAsia" w:ascii="方正小标宋_GBK" w:hAnsi="方正小标宋_GBK" w:eastAsia="方正小标宋_GBK" w:cs="方正小标宋_GBK"/>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numPr>
          <w:ilvl w:val="0"/>
          <w:numId w:val="2"/>
        </w:num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财政拨款收入：指财政当年拨付的资金，主要包括一般公共预算财政拨款，政府性基金预算财政拨款，国有资本经营预算财政拨款。</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二、上级补助收入：指事业单位从主管部门和上级单位取得的非财政补助收入。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三、事业收入：指事业单位开展专业业务活动及辅助活动所取得的收入。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四、经营收入：指事业单位在专业业务活动及其辅助活动之外开展非独立核算经营活动取得的收入。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五、附属单位上缴收入：指事业单位附属独立核算单位按照有关规定上缴的收入。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六、其他收入：指除上述“财政拨款收入”、“事业收入”、“经营收入”等以外的收入。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七、基本支出：指为保障机构正常运转、完成日常工作任务而发生的各项支出，包括人员支出和公用支出。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八、项目支出：指在基本支出以外为完成相关行政任务和事业发展目标所发生的各项支出。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九、“三公”经费：指通过财政拨款资金安排的因公出国（境）费、公务用车购置及运行费和公务接待费支出。  </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第五部分</w:t>
      </w:r>
    </w:p>
    <w:p>
      <w:pPr>
        <w:pStyle w:val="11"/>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附件</w:t>
      </w:r>
    </w:p>
    <w:p>
      <w:pPr>
        <w:spacing w:line="600" w:lineRule="exact"/>
        <w:ind w:left="638" w:leftChars="304"/>
        <w:jc w:val="left"/>
        <w:rPr>
          <w:rFonts w:ascii="仿宋_GB2312" w:hAnsi="仿宋_GB2312" w:eastAsia="仿宋_GB2312" w:cs="仿宋_GB2312"/>
          <w:color w:val="FF0000"/>
          <w:sz w:val="32"/>
          <w:szCs w:val="32"/>
        </w:rPr>
      </w:pPr>
    </w:p>
    <w:p>
      <w:pPr>
        <w:spacing w:line="580" w:lineRule="exact"/>
        <w:ind w:firstLine="2560" w:firstLineChars="800"/>
        <w:rPr>
          <w:rFonts w:ascii="仿宋_GB2312" w:hAnsi="仿宋_GB2312" w:eastAsia="仿宋_GB2312" w:cs="仿宋_GB2312"/>
          <w:sz w:val="32"/>
          <w:szCs w:val="32"/>
        </w:rPr>
      </w:pPr>
    </w:p>
    <w:p>
      <w:pPr>
        <w:spacing w:line="580" w:lineRule="exact"/>
        <w:ind w:firstLine="2560" w:firstLineChars="800"/>
        <w:rPr>
          <w:rFonts w:ascii="仿宋_GB2312" w:hAnsi="仿宋_GB2312" w:eastAsia="仿宋_GB2312" w:cs="仿宋_GB2312"/>
          <w:sz w:val="32"/>
          <w:szCs w:val="32"/>
        </w:rPr>
      </w:pPr>
    </w:p>
    <w:p>
      <w:pPr>
        <w:spacing w:line="580" w:lineRule="exact"/>
        <w:ind w:firstLine="2560" w:firstLineChars="800"/>
        <w:rPr>
          <w:rFonts w:ascii="仿宋_GB2312" w:hAnsi="仿宋_GB2312" w:eastAsia="仿宋_GB2312" w:cs="仿宋_GB2312"/>
          <w:sz w:val="32"/>
          <w:szCs w:val="32"/>
        </w:rPr>
      </w:pPr>
    </w:p>
    <w:p>
      <w:pPr>
        <w:spacing w:line="580" w:lineRule="exact"/>
        <w:ind w:firstLine="2560" w:firstLineChars="800"/>
        <w:rPr>
          <w:rFonts w:ascii="仿宋_GB2312" w:hAnsi="仿宋_GB2312" w:eastAsia="仿宋_GB2312" w:cs="仿宋_GB2312"/>
          <w:sz w:val="32"/>
          <w:szCs w:val="32"/>
        </w:rPr>
      </w:pPr>
    </w:p>
    <w:p>
      <w:pPr>
        <w:spacing w:line="580" w:lineRule="exact"/>
        <w:ind w:firstLine="2560" w:firstLineChars="800"/>
        <w:rPr>
          <w:rFonts w:ascii="仿宋_GB2312" w:hAnsi="仿宋_GB2312" w:eastAsia="仿宋_GB2312" w:cs="仿宋_GB2312"/>
          <w:sz w:val="32"/>
          <w:szCs w:val="32"/>
        </w:rPr>
      </w:pPr>
    </w:p>
    <w:p>
      <w:pPr>
        <w:spacing w:line="580" w:lineRule="exact"/>
        <w:ind w:firstLine="2560" w:firstLineChars="800"/>
        <w:rPr>
          <w:rFonts w:ascii="仿宋_GB2312" w:hAnsi="仿宋_GB2312" w:eastAsia="仿宋_GB2312" w:cs="仿宋_GB2312"/>
          <w:sz w:val="32"/>
          <w:szCs w:val="32"/>
        </w:rPr>
      </w:pPr>
    </w:p>
    <w:p>
      <w:pPr>
        <w:spacing w:line="580" w:lineRule="exact"/>
        <w:ind w:firstLine="2560" w:firstLineChars="800"/>
        <w:rPr>
          <w:rFonts w:ascii="仿宋_GB2312" w:hAnsi="仿宋_GB2312" w:eastAsia="仿宋_GB2312" w:cs="仿宋_GB2312"/>
          <w:sz w:val="32"/>
          <w:szCs w:val="32"/>
        </w:rPr>
      </w:pPr>
    </w:p>
    <w:p>
      <w:pPr>
        <w:spacing w:line="580" w:lineRule="exact"/>
        <w:ind w:firstLine="2560" w:firstLineChars="800"/>
        <w:rPr>
          <w:rFonts w:ascii="仿宋_GB2312" w:hAnsi="仿宋_GB2312" w:eastAsia="仿宋_GB2312" w:cs="仿宋_GB2312"/>
          <w:sz w:val="32"/>
          <w:szCs w:val="32"/>
        </w:rPr>
      </w:pPr>
    </w:p>
    <w:p>
      <w:pPr>
        <w:spacing w:line="580" w:lineRule="exact"/>
        <w:ind w:firstLine="2560" w:firstLineChars="800"/>
        <w:rPr>
          <w:rFonts w:ascii="仿宋_GB2312" w:hAnsi="仿宋_GB2312" w:eastAsia="仿宋_GB2312" w:cs="仿宋_GB2312"/>
          <w:sz w:val="32"/>
          <w:szCs w:val="32"/>
        </w:rPr>
      </w:pPr>
    </w:p>
    <w:p>
      <w:pPr>
        <w:spacing w:line="580" w:lineRule="exact"/>
        <w:ind w:firstLine="2560" w:firstLineChars="800"/>
        <w:rPr>
          <w:rFonts w:ascii="仿宋_GB2312" w:hAnsi="仿宋_GB2312" w:eastAsia="仿宋_GB2312" w:cs="仿宋_GB2312"/>
          <w:sz w:val="32"/>
          <w:szCs w:val="32"/>
        </w:rPr>
      </w:pPr>
    </w:p>
    <w:p>
      <w:pPr>
        <w:jc w:val="center"/>
        <w:rPr>
          <w:rFonts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ascii="方正小标宋简体" w:eastAsia="方正小标宋简体"/>
          <w:sz w:val="52"/>
          <w:szCs w:val="52"/>
        </w:rPr>
      </w:pPr>
      <w:r>
        <w:rPr>
          <w:rFonts w:hint="eastAsia" w:ascii="方正小标宋简体" w:eastAsia="方正小标宋简体"/>
          <w:sz w:val="52"/>
          <w:szCs w:val="52"/>
        </w:rPr>
        <w:t>2021年度永州市中心血站整体支出</w:t>
      </w:r>
    </w:p>
    <w:p>
      <w:pPr>
        <w:jc w:val="center"/>
        <w:rPr>
          <w:rFonts w:ascii="方正小标宋简体" w:eastAsia="方正小标宋简体"/>
          <w:sz w:val="52"/>
          <w:szCs w:val="52"/>
        </w:rPr>
      </w:pPr>
      <w:r>
        <w:rPr>
          <w:rFonts w:hint="eastAsia" w:ascii="方正小标宋简体" w:eastAsia="方正小标宋简体"/>
          <w:sz w:val="52"/>
          <w:szCs w:val="52"/>
        </w:rPr>
        <w:t>绩效自评报告</w:t>
      </w:r>
    </w:p>
    <w:p>
      <w:pPr>
        <w:jc w:val="center"/>
        <w:rPr>
          <w:rFonts w:ascii="方正小标宋简体" w:eastAsia="方正小标宋简体"/>
          <w:sz w:val="52"/>
          <w:szCs w:val="52"/>
        </w:rPr>
      </w:pPr>
    </w:p>
    <w:p>
      <w:pPr>
        <w:numPr>
          <w:ilvl w:val="0"/>
          <w:numId w:val="3"/>
        </w:numPr>
        <w:spacing w:line="580" w:lineRule="exact"/>
        <w:ind w:firstLine="600" w:firstLineChars="200"/>
        <w:rPr>
          <w:rFonts w:hint="eastAsia" w:ascii="仿宋" w:hAnsi="仿宋" w:eastAsia="仿宋" w:cs="仿宋"/>
          <w:b/>
          <w:bCs/>
          <w:sz w:val="30"/>
          <w:szCs w:val="30"/>
        </w:rPr>
      </w:pPr>
      <w:r>
        <w:rPr>
          <w:rFonts w:hint="eastAsia" w:ascii="仿宋" w:hAnsi="仿宋" w:eastAsia="仿宋" w:cs="仿宋"/>
          <w:b/>
          <w:bCs/>
          <w:sz w:val="30"/>
          <w:szCs w:val="30"/>
        </w:rPr>
        <w:t>基本情况</w:t>
      </w:r>
    </w:p>
    <w:p>
      <w:pPr>
        <w:pStyle w:val="12"/>
        <w:numPr>
          <w:ilvl w:val="0"/>
          <w:numId w:val="4"/>
        </w:numPr>
        <w:ind w:firstLineChars="0"/>
        <w:rPr>
          <w:rFonts w:hint="eastAsia" w:ascii="仿宋" w:hAnsi="仿宋" w:eastAsia="仿宋" w:cs="仿宋"/>
          <w:sz w:val="30"/>
          <w:szCs w:val="30"/>
        </w:rPr>
      </w:pPr>
      <w:r>
        <w:rPr>
          <w:rFonts w:hint="eastAsia" w:ascii="仿宋" w:hAnsi="仿宋" w:eastAsia="仿宋" w:cs="仿宋"/>
          <w:sz w:val="30"/>
          <w:szCs w:val="30"/>
          <w:lang w:eastAsia="zh-CN"/>
        </w:rPr>
        <w:t>部</w:t>
      </w:r>
      <w:r>
        <w:rPr>
          <w:rFonts w:hint="eastAsia" w:ascii="仿宋" w:hAnsi="仿宋" w:eastAsia="仿宋" w:cs="仿宋"/>
          <w:sz w:val="30"/>
          <w:szCs w:val="30"/>
        </w:rPr>
        <w:t>门基本情况</w:t>
      </w:r>
    </w:p>
    <w:p>
      <w:pPr>
        <w:pStyle w:val="5"/>
        <w:shd w:val="clear" w:color="auto" w:fill="FFFFFF"/>
        <w:spacing w:before="0" w:beforeAutospacing="0" w:after="0" w:afterAutospacing="0"/>
        <w:ind w:firstLine="645"/>
        <w:jc w:val="both"/>
        <w:rPr>
          <w:rFonts w:hint="eastAsia" w:ascii="仿宋" w:hAnsi="仿宋" w:eastAsia="仿宋" w:cs="仿宋"/>
          <w:color w:val="000000"/>
          <w:sz w:val="30"/>
          <w:szCs w:val="30"/>
        </w:rPr>
      </w:pPr>
      <w:r>
        <w:rPr>
          <w:rFonts w:hint="eastAsia" w:ascii="仿宋" w:hAnsi="仿宋" w:eastAsia="仿宋" w:cs="仿宋"/>
          <w:color w:val="000000"/>
          <w:sz w:val="30"/>
          <w:szCs w:val="30"/>
        </w:rPr>
        <w:t>永州市中心血站是永州市唯一一所不以盈利为目的的全额拨款正科级公益性事业单位，隶属永州市卫生健康委员会二级单位。担负着全市九县四区620万人口采供血任务，年采血量10.73吨。单位占地面积 2667平方米，业务及辅助用房建筑面积3800平方米。固定资产原值4195.50万元，在岗工作人员79人（含在编人员40名，聘用人员39名），其中卫生专业技术人员54人，本科以上学历41人，副高职称1人，中级职称21名，人员结构与中心血站功能和任务相适应。</w:t>
      </w:r>
    </w:p>
    <w:p>
      <w:pPr>
        <w:pStyle w:val="5"/>
        <w:shd w:val="clear" w:color="auto" w:fill="FFFFFF"/>
        <w:spacing w:before="0" w:beforeAutospacing="0" w:after="0" w:afterAutospacing="0" w:line="360" w:lineRule="atLeast"/>
        <w:ind w:firstLine="645"/>
        <w:jc w:val="both"/>
        <w:rPr>
          <w:rFonts w:hint="eastAsia" w:ascii="仿宋" w:hAnsi="仿宋" w:eastAsia="仿宋" w:cs="仿宋"/>
          <w:color w:val="000000"/>
          <w:sz w:val="30"/>
          <w:szCs w:val="30"/>
        </w:rPr>
      </w:pPr>
      <w:r>
        <w:rPr>
          <w:rFonts w:hint="eastAsia" w:ascii="仿宋" w:hAnsi="仿宋" w:eastAsia="仿宋" w:cs="仿宋"/>
          <w:color w:val="000000"/>
          <w:sz w:val="30"/>
          <w:szCs w:val="30"/>
        </w:rPr>
        <w:t>中心血站下设4个职能科室和8个业务科室，现有采血车3台，送血车3台，固定采血房车4个，设置10个县级中心储血点，拥有酶标仪、CS3000PIUS血细胞分离机、全自动生化分析仪、全自动酶免系统、全自动微板凝集系统等大型仪器设备。自2007年起，全市医疗用血100%来源于无偿献血，成分用血比例达99.9%以上，实现了科学计划采血、合理规范储血、保障临床用血的目标。</w:t>
      </w:r>
    </w:p>
    <w:p>
      <w:pPr>
        <w:pStyle w:val="5"/>
        <w:shd w:val="clear" w:color="auto" w:fill="FFFFFF"/>
        <w:spacing w:before="0" w:beforeAutospacing="0" w:after="0" w:afterAutospacing="0"/>
        <w:ind w:firstLine="645"/>
        <w:jc w:val="both"/>
        <w:rPr>
          <w:rFonts w:hint="eastAsia" w:ascii="仿宋" w:hAnsi="仿宋" w:eastAsia="仿宋" w:cs="仿宋"/>
          <w:color w:val="000000"/>
          <w:sz w:val="30"/>
          <w:szCs w:val="30"/>
        </w:rPr>
      </w:pPr>
      <w:r>
        <w:rPr>
          <w:rFonts w:hint="eastAsia" w:ascii="仿宋" w:hAnsi="仿宋" w:eastAsia="仿宋" w:cs="仿宋"/>
          <w:color w:val="000000"/>
          <w:sz w:val="30"/>
          <w:szCs w:val="30"/>
        </w:rPr>
        <w:t>㈡部门整体支出规模、方向、内容等情况</w:t>
      </w:r>
    </w:p>
    <w:p>
      <w:pPr>
        <w:pStyle w:val="5"/>
        <w:shd w:val="clear" w:color="auto" w:fill="FFFFFF"/>
        <w:spacing w:before="0" w:beforeAutospacing="0" w:after="0" w:afterAutospacing="0"/>
        <w:ind w:firstLine="645"/>
        <w:jc w:val="both"/>
        <w:rPr>
          <w:rFonts w:hint="eastAsia" w:ascii="仿宋" w:hAnsi="仿宋" w:eastAsia="仿宋" w:cs="仿宋"/>
          <w:color w:val="000000"/>
          <w:sz w:val="30"/>
          <w:szCs w:val="30"/>
        </w:rPr>
      </w:pPr>
      <w:r>
        <w:rPr>
          <w:rFonts w:hint="eastAsia" w:ascii="仿宋" w:hAnsi="仿宋" w:eastAsia="仿宋" w:cs="仿宋"/>
          <w:color w:val="000000"/>
          <w:sz w:val="30"/>
          <w:szCs w:val="30"/>
        </w:rPr>
        <w:t>本单位整体支出绩效目标严格按照政府预算控制执行，资金使用方向为卫生健康支出，使用范围和内容为采供血业务过程中的所有支出。贯彻实施一法两规及《国家卫计委关于全面推进血站核酸检测工作实施方案（2013-2015年）》等法规的要求，大力开展无偿献血，巩固和扩大固定无偿献血者、稀有血型献血者队伍；开展核酸检测项目为临床安全输血提供有力保障；加强对医疗机构临床用血情况的监督检查和指导，减少不合理用血，尤其是对偏远地区的基层医疗机构临床用血进行检查指导；加强质量管理，确保血液的采集、检测、制备、贮存、运输等方面的每一个环节的质量做到万无一失。</w:t>
      </w:r>
    </w:p>
    <w:p>
      <w:pPr>
        <w:pStyle w:val="12"/>
        <w:spacing w:line="580" w:lineRule="exact"/>
        <w:ind w:firstLine="640"/>
        <w:rPr>
          <w:rFonts w:hint="eastAsia" w:ascii="仿宋" w:hAnsi="仿宋" w:eastAsia="仿宋" w:cs="仿宋"/>
          <w:b/>
          <w:bCs/>
          <w:sz w:val="30"/>
          <w:szCs w:val="30"/>
        </w:rPr>
      </w:pPr>
      <w:r>
        <w:rPr>
          <w:rFonts w:hint="eastAsia" w:ascii="仿宋" w:hAnsi="仿宋" w:eastAsia="仿宋" w:cs="仿宋"/>
          <w:b/>
          <w:bCs/>
          <w:sz w:val="30"/>
          <w:szCs w:val="30"/>
        </w:rPr>
        <w:t>二、一般公共预算支出情况</w:t>
      </w:r>
    </w:p>
    <w:p>
      <w:pPr>
        <w:pStyle w:val="12"/>
        <w:spacing w:line="580" w:lineRule="exact"/>
        <w:ind w:firstLine="643"/>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（一）基本支出情况</w:t>
      </w:r>
    </w:p>
    <w:p>
      <w:pPr>
        <w:pStyle w:val="12"/>
        <w:spacing w:line="580" w:lineRule="exact"/>
        <w:ind w:firstLine="640"/>
        <w:rPr>
          <w:rFonts w:hint="eastAsia" w:ascii="仿宋" w:hAnsi="仿宋" w:eastAsia="仿宋" w:cs="仿宋"/>
          <w:sz w:val="30"/>
          <w:szCs w:val="30"/>
        </w:rPr>
      </w:pPr>
      <w:r>
        <w:rPr>
          <w:rFonts w:hint="eastAsia" w:ascii="仿宋" w:hAnsi="仿宋" w:eastAsia="仿宋" w:cs="仿宋"/>
          <w:sz w:val="30"/>
          <w:szCs w:val="30"/>
        </w:rPr>
        <w:t>主要用于维持部门日常运转的人员经费和日常公用经费，血液采集、检测、制备、运输、储存、宣传招募等支出共计460.99万元。</w:t>
      </w:r>
    </w:p>
    <w:tbl>
      <w:tblPr>
        <w:tblStyle w:val="6"/>
        <w:tblW w:w="9570" w:type="dxa"/>
        <w:tblInd w:w="0"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65"/>
        <w:gridCol w:w="5005"/>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00" w:hRule="atLeast"/>
        </w:trPr>
        <w:tc>
          <w:tcPr>
            <w:tcW w:w="45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600" w:lineRule="atLeast"/>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     项目名称 </w:t>
            </w:r>
          </w:p>
        </w:tc>
        <w:tc>
          <w:tcPr>
            <w:tcW w:w="50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金额（万元）</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基本工资</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140.08</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津贴补贴</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77.15</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绩效工资</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110.14</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机关事业单位基本养老保险缴费</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32.47</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  职工基本医疗保险缴费</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20.96</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  生活补助</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1.44</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  办公费</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17.38</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水、电费</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29.29</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邮电费</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4.12</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  会议费</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3.83</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培训费</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0.38</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公务接待费</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1.7</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工会经费</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4.34</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公务用车运行维护费</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6</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税金及附加费用</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0.01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45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  其他商品和服务支出</w:t>
            </w:r>
          </w:p>
        </w:tc>
        <w:tc>
          <w:tcPr>
            <w:tcW w:w="5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70" w:lineRule="atLeast"/>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11.68</w:t>
            </w:r>
          </w:p>
        </w:tc>
      </w:tr>
    </w:tbl>
    <w:p>
      <w:pPr>
        <w:pStyle w:val="12"/>
        <w:spacing w:line="580" w:lineRule="exact"/>
        <w:ind w:firstLine="640"/>
        <w:rPr>
          <w:rFonts w:hint="eastAsia" w:ascii="仿宋" w:hAnsi="仿宋" w:eastAsia="仿宋" w:cs="仿宋"/>
          <w:sz w:val="30"/>
          <w:szCs w:val="30"/>
        </w:rPr>
      </w:pPr>
    </w:p>
    <w:p>
      <w:pPr>
        <w:pStyle w:val="12"/>
        <w:spacing w:line="580" w:lineRule="exact"/>
        <w:ind w:firstLine="643"/>
        <w:rPr>
          <w:rFonts w:hint="eastAsia" w:ascii="仿宋" w:hAnsi="仿宋" w:eastAsia="仿宋" w:cs="仿宋"/>
          <w:b w:val="0"/>
          <w:bCs w:val="0"/>
          <w:sz w:val="30"/>
          <w:szCs w:val="30"/>
          <w:highlight w:val="yellow"/>
        </w:rPr>
      </w:pPr>
      <w:r>
        <w:rPr>
          <w:rFonts w:hint="eastAsia" w:ascii="仿宋" w:hAnsi="仿宋" w:eastAsia="仿宋" w:cs="仿宋"/>
          <w:b w:val="0"/>
          <w:bCs w:val="0"/>
          <w:sz w:val="30"/>
          <w:szCs w:val="30"/>
          <w:highlight w:val="none"/>
        </w:rPr>
        <w:t>（二）项目支出情况</w:t>
      </w:r>
    </w:p>
    <w:p>
      <w:pPr>
        <w:pStyle w:val="12"/>
        <w:spacing w:line="580" w:lineRule="exact"/>
        <w:ind w:firstLine="640"/>
        <w:rPr>
          <w:rFonts w:hint="eastAsia" w:ascii="仿宋" w:hAnsi="仿宋" w:eastAsia="仿宋" w:cs="仿宋"/>
          <w:sz w:val="30"/>
          <w:szCs w:val="30"/>
        </w:rPr>
      </w:pPr>
      <w:r>
        <w:rPr>
          <w:rFonts w:hint="eastAsia" w:ascii="仿宋" w:hAnsi="仿宋" w:eastAsia="仿宋" w:cs="仿宋"/>
          <w:sz w:val="30"/>
          <w:szCs w:val="30"/>
        </w:rPr>
        <w:t>1、专项资金安排落实、总投入情况</w:t>
      </w:r>
    </w:p>
    <w:p>
      <w:pPr>
        <w:pStyle w:val="12"/>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本部门专项支出总投入1361.75万元。其中：非税收入支出为1224万元，市本级专项资金50万元。中央补助重大疾病专项资金93.93万元。</w:t>
      </w:r>
    </w:p>
    <w:p>
      <w:pPr>
        <w:pStyle w:val="12"/>
        <w:spacing w:line="580" w:lineRule="exact"/>
        <w:ind w:firstLine="640"/>
        <w:rPr>
          <w:rFonts w:hint="eastAsia" w:ascii="仿宋" w:hAnsi="仿宋" w:eastAsia="仿宋" w:cs="仿宋"/>
          <w:sz w:val="30"/>
          <w:szCs w:val="30"/>
        </w:rPr>
      </w:pPr>
      <w:r>
        <w:rPr>
          <w:rFonts w:hint="eastAsia" w:ascii="仿宋" w:hAnsi="仿宋" w:eastAsia="仿宋" w:cs="仿宋"/>
          <w:sz w:val="30"/>
          <w:szCs w:val="30"/>
        </w:rPr>
        <w:t>2、专项资金实际使用情况分析</w:t>
      </w:r>
    </w:p>
    <w:p>
      <w:pPr>
        <w:pStyle w:val="12"/>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本部门实际使用专项资金如下：市本级专项支出50万元无偿献血返还基金用于保障无偿献血者用血免费返还，已转入无偿献血基金专户</w:t>
      </w:r>
    </w:p>
    <w:p>
      <w:pPr>
        <w:pStyle w:val="12"/>
        <w:spacing w:line="580" w:lineRule="exact"/>
        <w:ind w:firstLine="640"/>
        <w:rPr>
          <w:rFonts w:hint="eastAsia" w:ascii="仿宋" w:hAnsi="仿宋" w:eastAsia="仿宋" w:cs="仿宋"/>
          <w:sz w:val="30"/>
          <w:szCs w:val="30"/>
        </w:rPr>
      </w:pPr>
      <w:r>
        <w:rPr>
          <w:rFonts w:hint="eastAsia" w:ascii="仿宋" w:hAnsi="仿宋" w:eastAsia="仿宋" w:cs="仿宋"/>
          <w:sz w:val="30"/>
          <w:szCs w:val="30"/>
        </w:rPr>
        <w:t>3、专项资金管理情况分析</w:t>
      </w:r>
    </w:p>
    <w:p>
      <w:pPr>
        <w:pStyle w:val="12"/>
        <w:spacing w:line="580" w:lineRule="exact"/>
        <w:ind w:firstLine="640"/>
        <w:rPr>
          <w:rFonts w:hint="eastAsia" w:ascii="仿宋" w:hAnsi="仿宋" w:eastAsia="仿宋" w:cs="仿宋"/>
          <w:sz w:val="30"/>
          <w:szCs w:val="30"/>
          <w:highlight w:val="yellow"/>
        </w:rPr>
      </w:pPr>
      <w:r>
        <w:rPr>
          <w:rFonts w:hint="eastAsia" w:ascii="仿宋" w:hAnsi="仿宋" w:eastAsia="仿宋" w:cs="仿宋"/>
          <w:sz w:val="30"/>
          <w:szCs w:val="30"/>
        </w:rPr>
        <w:t xml:space="preserve"> 本部门对专项资金的管理严格遵守相关规定，建立专项资金管理制度，专款专用严禁违规挪用，资金使用采取国库直接支付方式使用并录入到政府互联网+监督系统，接受中央、省市的专项资金检查。</w:t>
      </w:r>
    </w:p>
    <w:p>
      <w:pPr>
        <w:pStyle w:val="12"/>
        <w:spacing w:line="580" w:lineRule="exact"/>
        <w:ind w:firstLine="640"/>
        <w:rPr>
          <w:rFonts w:hint="eastAsia" w:ascii="仿宋" w:hAnsi="仿宋" w:eastAsia="仿宋" w:cs="仿宋"/>
          <w:sz w:val="30"/>
          <w:szCs w:val="30"/>
        </w:rPr>
      </w:pPr>
      <w:r>
        <w:rPr>
          <w:rFonts w:hint="eastAsia" w:ascii="仿宋" w:hAnsi="仿宋" w:eastAsia="仿宋" w:cs="仿宋"/>
          <w:b/>
          <w:bCs/>
          <w:sz w:val="30"/>
          <w:szCs w:val="30"/>
        </w:rPr>
        <w:t>三、政府性基金预算支出情况</w:t>
      </w:r>
    </w:p>
    <w:p>
      <w:pPr>
        <w:pStyle w:val="12"/>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本单位无政府性基金预算安排的支出。</w:t>
      </w:r>
    </w:p>
    <w:p>
      <w:pPr>
        <w:pStyle w:val="12"/>
        <w:spacing w:line="580" w:lineRule="exact"/>
        <w:ind w:firstLine="640"/>
        <w:rPr>
          <w:rFonts w:hint="eastAsia" w:ascii="仿宋" w:hAnsi="仿宋" w:eastAsia="仿宋" w:cs="仿宋"/>
          <w:b/>
          <w:bCs/>
          <w:sz w:val="30"/>
          <w:szCs w:val="30"/>
        </w:rPr>
      </w:pPr>
      <w:r>
        <w:rPr>
          <w:rFonts w:hint="eastAsia" w:ascii="仿宋" w:hAnsi="仿宋" w:eastAsia="仿宋" w:cs="仿宋"/>
          <w:b/>
          <w:bCs/>
          <w:sz w:val="30"/>
          <w:szCs w:val="30"/>
        </w:rPr>
        <w:t>四、国有资本经营预算支出情况</w:t>
      </w:r>
    </w:p>
    <w:p>
      <w:pPr>
        <w:pStyle w:val="12"/>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本单位无国有资本经营预算安排的支出。</w:t>
      </w:r>
    </w:p>
    <w:p>
      <w:pPr>
        <w:pStyle w:val="12"/>
        <w:spacing w:line="580" w:lineRule="exact"/>
        <w:ind w:firstLine="640"/>
        <w:rPr>
          <w:rFonts w:hint="eastAsia" w:ascii="仿宋" w:hAnsi="仿宋" w:eastAsia="仿宋" w:cs="仿宋"/>
          <w:b/>
          <w:bCs/>
          <w:sz w:val="30"/>
          <w:szCs w:val="30"/>
        </w:rPr>
      </w:pPr>
      <w:r>
        <w:rPr>
          <w:rFonts w:hint="eastAsia" w:ascii="仿宋" w:hAnsi="仿宋" w:eastAsia="仿宋" w:cs="仿宋"/>
          <w:b/>
          <w:bCs/>
          <w:sz w:val="30"/>
          <w:szCs w:val="30"/>
        </w:rPr>
        <w:t>五、社会保险基金预算支出情况</w:t>
      </w:r>
    </w:p>
    <w:p>
      <w:pPr>
        <w:pStyle w:val="12"/>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本单位无社会保险基金预算安排的支出。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b/>
          <w:bCs/>
          <w:sz w:val="30"/>
          <w:szCs w:val="30"/>
        </w:rPr>
        <w:t>六、部门整体支出绩效情况</w:t>
      </w:r>
    </w:p>
    <w:p>
      <w:pPr>
        <w:pStyle w:val="12"/>
        <w:spacing w:line="580" w:lineRule="exact"/>
        <w:ind w:firstLine="640"/>
        <w:rPr>
          <w:rFonts w:hint="eastAsia" w:ascii="仿宋" w:hAnsi="仿宋" w:eastAsia="仿宋" w:cs="仿宋"/>
          <w:color w:val="000000"/>
          <w:sz w:val="30"/>
          <w:szCs w:val="30"/>
        </w:rPr>
      </w:pPr>
      <w:r>
        <w:rPr>
          <w:rFonts w:hint="eastAsia" w:ascii="仿宋" w:hAnsi="仿宋" w:eastAsia="仿宋" w:cs="仿宋"/>
          <w:color w:val="000000"/>
          <w:sz w:val="30"/>
          <w:szCs w:val="30"/>
        </w:rPr>
        <w:t>我站严格按照政府预算控制支出完成绩效考核目标。</w:t>
      </w:r>
    </w:p>
    <w:p>
      <w:pPr>
        <w:pStyle w:val="12"/>
        <w:spacing w:line="580" w:lineRule="exact"/>
        <w:ind w:firstLine="640"/>
        <w:rPr>
          <w:rFonts w:hint="eastAsia" w:ascii="仿宋" w:hAnsi="仿宋" w:eastAsia="仿宋" w:cs="仿宋"/>
          <w:color w:val="000000"/>
          <w:sz w:val="30"/>
          <w:szCs w:val="30"/>
        </w:rPr>
      </w:pPr>
      <w:r>
        <w:rPr>
          <w:rFonts w:hint="eastAsia" w:ascii="仿宋" w:hAnsi="仿宋" w:eastAsia="仿宋" w:cs="仿宋"/>
          <w:color w:val="000000"/>
          <w:sz w:val="30"/>
          <w:szCs w:val="30"/>
        </w:rPr>
        <w:t>部门支出资金来源情况：</w:t>
      </w:r>
    </w:p>
    <w:p>
      <w:pPr>
        <w:pStyle w:val="12"/>
        <w:spacing w:line="580" w:lineRule="exact"/>
        <w:ind w:firstLine="640"/>
        <w:rPr>
          <w:rFonts w:hint="eastAsia" w:ascii="仿宋" w:hAnsi="仿宋" w:eastAsia="仿宋" w:cs="仿宋"/>
          <w:color w:val="000000"/>
          <w:sz w:val="30"/>
          <w:szCs w:val="30"/>
        </w:rPr>
      </w:pPr>
      <w:r>
        <w:rPr>
          <w:rFonts w:hint="eastAsia" w:ascii="仿宋" w:hAnsi="仿宋" w:eastAsia="仿宋" w:cs="仿宋"/>
          <w:color w:val="000000"/>
          <w:sz w:val="30"/>
          <w:szCs w:val="30"/>
        </w:rPr>
        <w:t>2021年决算收入1822.74万元，其中:财政拨款收入1820.74万元;</w:t>
      </w:r>
      <w:r>
        <w:rPr>
          <w:rFonts w:hint="eastAsia" w:ascii="仿宋" w:hAnsi="仿宋" w:eastAsia="仿宋" w:cs="仿宋"/>
          <w:sz w:val="30"/>
          <w:szCs w:val="30"/>
        </w:rPr>
        <w:t xml:space="preserve"> </w:t>
      </w:r>
      <w:r>
        <w:rPr>
          <w:rFonts w:hint="eastAsia" w:ascii="仿宋" w:hAnsi="仿宋" w:eastAsia="仿宋" w:cs="仿宋"/>
          <w:color w:val="000000"/>
          <w:sz w:val="30"/>
          <w:szCs w:val="30"/>
        </w:rPr>
        <w:t>上级补助收入2万元。</w:t>
      </w:r>
    </w:p>
    <w:p>
      <w:pPr>
        <w:pStyle w:val="12"/>
        <w:spacing w:line="580" w:lineRule="exact"/>
        <w:ind w:firstLine="640"/>
        <w:rPr>
          <w:rFonts w:hint="eastAsia" w:ascii="仿宋" w:hAnsi="仿宋" w:eastAsia="仿宋" w:cs="仿宋"/>
          <w:color w:val="000000"/>
          <w:sz w:val="30"/>
          <w:szCs w:val="30"/>
        </w:rPr>
      </w:pPr>
      <w:r>
        <w:rPr>
          <w:rFonts w:hint="eastAsia" w:ascii="仿宋" w:hAnsi="仿宋" w:eastAsia="仿宋" w:cs="仿宋"/>
          <w:color w:val="000000"/>
          <w:sz w:val="30"/>
          <w:szCs w:val="30"/>
        </w:rPr>
        <w:t>部门整体支出使用情况:</w:t>
      </w:r>
    </w:p>
    <w:p>
      <w:pPr>
        <w:pStyle w:val="12"/>
        <w:spacing w:line="580" w:lineRule="exact"/>
        <w:ind w:firstLine="640"/>
        <w:rPr>
          <w:rFonts w:hint="eastAsia" w:ascii="仿宋" w:hAnsi="仿宋" w:eastAsia="仿宋" w:cs="仿宋"/>
          <w:color w:val="000000"/>
          <w:sz w:val="30"/>
          <w:szCs w:val="30"/>
        </w:rPr>
      </w:pPr>
      <w:r>
        <w:rPr>
          <w:rFonts w:hint="eastAsia" w:ascii="仿宋" w:hAnsi="仿宋" w:eastAsia="仿宋" w:cs="仿宋"/>
          <w:color w:val="000000"/>
          <w:sz w:val="30"/>
          <w:szCs w:val="30"/>
        </w:rPr>
        <w:t>2021年决算支出总计1988.80万元，其中基本支出460.99万元，项目支出：1527.82万元。</w:t>
      </w:r>
    </w:p>
    <w:p>
      <w:pPr>
        <w:pStyle w:val="12"/>
        <w:spacing w:line="580" w:lineRule="exact"/>
        <w:ind w:firstLine="640"/>
        <w:rPr>
          <w:rFonts w:hint="eastAsia" w:ascii="仿宋" w:hAnsi="仿宋" w:eastAsia="仿宋" w:cs="仿宋"/>
          <w:sz w:val="30"/>
          <w:szCs w:val="30"/>
          <w:highlight w:val="none"/>
        </w:rPr>
      </w:pPr>
      <w:r>
        <w:rPr>
          <w:rFonts w:hint="eastAsia" w:ascii="仿宋" w:hAnsi="仿宋" w:eastAsia="仿宋" w:cs="仿宋"/>
          <w:b/>
          <w:bCs/>
          <w:sz w:val="30"/>
          <w:szCs w:val="30"/>
          <w:highlight w:val="none"/>
        </w:rPr>
        <w:t>七、存在的问题及原因分析</w:t>
      </w:r>
    </w:p>
    <w:p>
      <w:pPr>
        <w:spacing w:line="580" w:lineRule="exact"/>
        <w:ind w:firstLine="600" w:firstLineChars="200"/>
        <w:rPr>
          <w:rFonts w:hint="eastAsia" w:ascii="仿宋" w:hAnsi="仿宋" w:eastAsia="仿宋" w:cs="仿宋"/>
          <w:sz w:val="30"/>
          <w:szCs w:val="30"/>
          <w:highlight w:val="yellow"/>
        </w:rPr>
      </w:pPr>
      <w:r>
        <w:rPr>
          <w:rFonts w:hint="eastAsia" w:ascii="仿宋" w:hAnsi="仿宋" w:eastAsia="仿宋" w:cs="仿宋"/>
          <w:sz w:val="30"/>
          <w:szCs w:val="30"/>
        </w:rPr>
        <w:t>财政资金投入严重不足。市财政每年仅拨付我站编内职工的人员经费和每年1.4万元的工作经费，其它所有支出都靠非税收入返拨保障，近年来财政还不断增加统筹血站非税收入比例，2021年统筹调节比例高达28%。本年度拨付非税收入1224万元，导致专用材料等预算不足。</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b/>
          <w:bCs/>
          <w:sz w:val="30"/>
          <w:szCs w:val="30"/>
        </w:rPr>
        <w:t>八、下一步改进措施</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继续加强我市无偿献血宣传及招募等工作，提高千人口献血率和固定献血者比例，满足临床用血需求；做好血站实验室质量控制，提高血液检测质量；加强偏远地区供血能力，提高送血储血能力，提高城市采供血能力，保证临床用血需求，采血量较上年增加，储血运行正常有序；巩固血站核酸检测全覆盖，提高血液安全水平，核酸检测覆盖率达100%，完成国家下达的其他病毒检测任务。</w:t>
      </w:r>
    </w:p>
    <w:p>
      <w:pPr>
        <w:spacing w:line="580" w:lineRule="exact"/>
        <w:ind w:firstLine="600" w:firstLineChars="200"/>
        <w:rPr>
          <w:rFonts w:hint="eastAsia" w:ascii="仿宋" w:hAnsi="仿宋" w:eastAsia="仿宋" w:cs="仿宋"/>
          <w:b/>
          <w:bCs/>
          <w:sz w:val="30"/>
          <w:szCs w:val="30"/>
        </w:rPr>
      </w:pPr>
      <w:r>
        <w:rPr>
          <w:rFonts w:hint="eastAsia" w:ascii="仿宋" w:hAnsi="仿宋" w:eastAsia="仿宋" w:cs="仿宋"/>
          <w:b/>
          <w:bCs/>
          <w:sz w:val="30"/>
          <w:szCs w:val="30"/>
        </w:rPr>
        <w:t>九、部门整体支出绩效自评结果拟应用和公开情况</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我部门推动绩效评价结果与预算安排相结合，并将绩效评价情况在网站上向社会公布。</w:t>
      </w:r>
    </w:p>
    <w:p>
      <w:pPr>
        <w:spacing w:line="580" w:lineRule="exact"/>
        <w:ind w:firstLine="600" w:firstLineChars="200"/>
        <w:rPr>
          <w:rFonts w:hint="eastAsia" w:ascii="仿宋" w:hAnsi="仿宋" w:eastAsia="仿宋" w:cs="仿宋"/>
          <w:b/>
          <w:bCs/>
          <w:sz w:val="30"/>
          <w:szCs w:val="30"/>
        </w:rPr>
      </w:pPr>
      <w:r>
        <w:rPr>
          <w:rFonts w:hint="eastAsia" w:ascii="仿宋" w:hAnsi="仿宋" w:eastAsia="仿宋" w:cs="仿宋"/>
          <w:b/>
          <w:bCs/>
          <w:sz w:val="30"/>
          <w:szCs w:val="30"/>
        </w:rPr>
        <w:t>十、其他需要说明的情况</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无</w:t>
      </w:r>
    </w:p>
    <w:p>
      <w:pPr>
        <w:spacing w:line="580" w:lineRule="exact"/>
        <w:ind w:firstLine="600" w:firstLineChars="200"/>
        <w:rPr>
          <w:rFonts w:hint="eastAsia" w:ascii="仿宋" w:hAnsi="仿宋" w:eastAsia="仿宋" w:cs="仿宋"/>
          <w:sz w:val="30"/>
          <w:szCs w:val="30"/>
        </w:rPr>
      </w:pPr>
    </w:p>
    <w:p>
      <w:pPr>
        <w:spacing w:line="58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附件：</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1.2021年度部门整体支出绩效评价基础数据表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2.2021年度部门整体支出绩效自评表</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3.2021年度项目支出绩效自评报告</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4.2021年度项目支出绩效自评表</w:t>
      </w:r>
    </w:p>
    <w:p>
      <w:pPr>
        <w:spacing w:line="580" w:lineRule="exact"/>
        <w:ind w:firstLine="600" w:firstLineChars="200"/>
        <w:rPr>
          <w:rFonts w:hint="default" w:ascii="仿宋" w:hAnsi="仿宋" w:eastAsia="仿宋" w:cs="仿宋"/>
          <w:sz w:val="30"/>
          <w:szCs w:val="30"/>
          <w:lang w:val="en-US"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FEDA3"/>
    <w:multiLevelType w:val="singleLevel"/>
    <w:tmpl w:val="9D7FEDA3"/>
    <w:lvl w:ilvl="0" w:tentative="0">
      <w:start w:val="9"/>
      <w:numFmt w:val="chineseCounting"/>
      <w:suff w:val="nothing"/>
      <w:lvlText w:val="%1、"/>
      <w:lvlJc w:val="left"/>
      <w:rPr>
        <w:rFonts w:hint="eastAsia"/>
      </w:rPr>
    </w:lvl>
  </w:abstractNum>
  <w:abstractNum w:abstractNumId="1">
    <w:nsid w:val="B9746D94"/>
    <w:multiLevelType w:val="singleLevel"/>
    <w:tmpl w:val="B9746D94"/>
    <w:lvl w:ilvl="0" w:tentative="0">
      <w:start w:val="1"/>
      <w:numFmt w:val="chineseCounting"/>
      <w:suff w:val="nothing"/>
      <w:lvlText w:val="%1、"/>
      <w:lvlJc w:val="left"/>
      <w:rPr>
        <w:rFonts w:hint="eastAsia"/>
      </w:rPr>
    </w:lvl>
  </w:abstractNum>
  <w:abstractNum w:abstractNumId="2">
    <w:nsid w:val="D9E3DA24"/>
    <w:multiLevelType w:val="singleLevel"/>
    <w:tmpl w:val="D9E3DA24"/>
    <w:lvl w:ilvl="0" w:tentative="0">
      <w:start w:val="1"/>
      <w:numFmt w:val="chineseCounting"/>
      <w:suff w:val="nothing"/>
      <w:lvlText w:val="%1、"/>
      <w:lvlJc w:val="left"/>
      <w:rPr>
        <w:rFonts w:hint="eastAsia"/>
      </w:rPr>
    </w:lvl>
  </w:abstractNum>
  <w:abstractNum w:abstractNumId="3">
    <w:nsid w:val="3F6D7769"/>
    <w:multiLevelType w:val="multilevel"/>
    <w:tmpl w:val="3F6D7769"/>
    <w:lvl w:ilvl="0" w:tentative="0">
      <w:start w:val="1"/>
      <w:numFmt w:val="ideograph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2NzA2YWMxNGJhYTIxZDM0ZjExNGE2ODBlYjk1YjcifQ=="/>
  </w:docVars>
  <w:rsids>
    <w:rsidRoot w:val="004506F9"/>
    <w:rsid w:val="0002229B"/>
    <w:rsid w:val="000273BD"/>
    <w:rsid w:val="000415B7"/>
    <w:rsid w:val="00041E3F"/>
    <w:rsid w:val="00055DAA"/>
    <w:rsid w:val="00061F7B"/>
    <w:rsid w:val="000658A3"/>
    <w:rsid w:val="00074155"/>
    <w:rsid w:val="0008138C"/>
    <w:rsid w:val="000873EF"/>
    <w:rsid w:val="000A3F69"/>
    <w:rsid w:val="000B43CB"/>
    <w:rsid w:val="000D6D0F"/>
    <w:rsid w:val="00103957"/>
    <w:rsid w:val="00124A1F"/>
    <w:rsid w:val="00126293"/>
    <w:rsid w:val="001367A5"/>
    <w:rsid w:val="00152C6D"/>
    <w:rsid w:val="00157429"/>
    <w:rsid w:val="00162D39"/>
    <w:rsid w:val="00165029"/>
    <w:rsid w:val="001678BD"/>
    <w:rsid w:val="00175E25"/>
    <w:rsid w:val="00182373"/>
    <w:rsid w:val="00190A6F"/>
    <w:rsid w:val="001A6173"/>
    <w:rsid w:val="001A67DB"/>
    <w:rsid w:val="001C3C29"/>
    <w:rsid w:val="001C5D83"/>
    <w:rsid w:val="001C663E"/>
    <w:rsid w:val="001D51E5"/>
    <w:rsid w:val="001E080D"/>
    <w:rsid w:val="001E53D0"/>
    <w:rsid w:val="001F0C3B"/>
    <w:rsid w:val="001F3D0C"/>
    <w:rsid w:val="00202C14"/>
    <w:rsid w:val="00202C82"/>
    <w:rsid w:val="00214427"/>
    <w:rsid w:val="00226CB7"/>
    <w:rsid w:val="00245F07"/>
    <w:rsid w:val="00257938"/>
    <w:rsid w:val="00264552"/>
    <w:rsid w:val="00264EF9"/>
    <w:rsid w:val="00265724"/>
    <w:rsid w:val="0027426B"/>
    <w:rsid w:val="00284743"/>
    <w:rsid w:val="002B0C56"/>
    <w:rsid w:val="002D53D5"/>
    <w:rsid w:val="002D63FF"/>
    <w:rsid w:val="002E0A30"/>
    <w:rsid w:val="003075A8"/>
    <w:rsid w:val="003130C4"/>
    <w:rsid w:val="00316C4B"/>
    <w:rsid w:val="0032192B"/>
    <w:rsid w:val="00322471"/>
    <w:rsid w:val="003479BD"/>
    <w:rsid w:val="00353003"/>
    <w:rsid w:val="003562E9"/>
    <w:rsid w:val="0037197D"/>
    <w:rsid w:val="003768D5"/>
    <w:rsid w:val="00386801"/>
    <w:rsid w:val="003C4197"/>
    <w:rsid w:val="003C47E6"/>
    <w:rsid w:val="003C4FC2"/>
    <w:rsid w:val="003D1A65"/>
    <w:rsid w:val="003E2331"/>
    <w:rsid w:val="003F5DFA"/>
    <w:rsid w:val="00416E61"/>
    <w:rsid w:val="0042790C"/>
    <w:rsid w:val="00436A2D"/>
    <w:rsid w:val="004506F9"/>
    <w:rsid w:val="004717A2"/>
    <w:rsid w:val="00473DF3"/>
    <w:rsid w:val="00487911"/>
    <w:rsid w:val="00491741"/>
    <w:rsid w:val="004A039C"/>
    <w:rsid w:val="004A7E99"/>
    <w:rsid w:val="004B0CEE"/>
    <w:rsid w:val="004D29DF"/>
    <w:rsid w:val="004E2AD3"/>
    <w:rsid w:val="00500E5F"/>
    <w:rsid w:val="005122EF"/>
    <w:rsid w:val="0051441A"/>
    <w:rsid w:val="00517C33"/>
    <w:rsid w:val="00517D5F"/>
    <w:rsid w:val="00521AF2"/>
    <w:rsid w:val="00523644"/>
    <w:rsid w:val="0054069E"/>
    <w:rsid w:val="00542ACB"/>
    <w:rsid w:val="00544866"/>
    <w:rsid w:val="005767CC"/>
    <w:rsid w:val="00590D9F"/>
    <w:rsid w:val="00595D26"/>
    <w:rsid w:val="005A1784"/>
    <w:rsid w:val="005A7118"/>
    <w:rsid w:val="005A74E6"/>
    <w:rsid w:val="005B404E"/>
    <w:rsid w:val="005C49EE"/>
    <w:rsid w:val="005D4D55"/>
    <w:rsid w:val="005E2CFB"/>
    <w:rsid w:val="005F2103"/>
    <w:rsid w:val="005F3D1C"/>
    <w:rsid w:val="005F7113"/>
    <w:rsid w:val="0062378F"/>
    <w:rsid w:val="00635949"/>
    <w:rsid w:val="00641842"/>
    <w:rsid w:val="00651EEC"/>
    <w:rsid w:val="00654CBD"/>
    <w:rsid w:val="006721C4"/>
    <w:rsid w:val="00686673"/>
    <w:rsid w:val="00691E8C"/>
    <w:rsid w:val="006A22C4"/>
    <w:rsid w:val="006A348B"/>
    <w:rsid w:val="006A351B"/>
    <w:rsid w:val="006A4693"/>
    <w:rsid w:val="006B0422"/>
    <w:rsid w:val="006B3B4F"/>
    <w:rsid w:val="006C1B53"/>
    <w:rsid w:val="006D7730"/>
    <w:rsid w:val="006E5284"/>
    <w:rsid w:val="006F3EB5"/>
    <w:rsid w:val="006F635E"/>
    <w:rsid w:val="00702E34"/>
    <w:rsid w:val="00704395"/>
    <w:rsid w:val="00710FE7"/>
    <w:rsid w:val="00717621"/>
    <w:rsid w:val="00720FF1"/>
    <w:rsid w:val="00724988"/>
    <w:rsid w:val="00727A53"/>
    <w:rsid w:val="007429CB"/>
    <w:rsid w:val="0078113D"/>
    <w:rsid w:val="007829CF"/>
    <w:rsid w:val="00784015"/>
    <w:rsid w:val="00787B42"/>
    <w:rsid w:val="007C4539"/>
    <w:rsid w:val="007F3657"/>
    <w:rsid w:val="00812ED5"/>
    <w:rsid w:val="00815366"/>
    <w:rsid w:val="008277D9"/>
    <w:rsid w:val="00833076"/>
    <w:rsid w:val="008368DD"/>
    <w:rsid w:val="0084478C"/>
    <w:rsid w:val="00855345"/>
    <w:rsid w:val="0086638C"/>
    <w:rsid w:val="008A3E8D"/>
    <w:rsid w:val="008B5616"/>
    <w:rsid w:val="008B74C1"/>
    <w:rsid w:val="00905208"/>
    <w:rsid w:val="009237C4"/>
    <w:rsid w:val="00936B96"/>
    <w:rsid w:val="00941E44"/>
    <w:rsid w:val="00944C48"/>
    <w:rsid w:val="00950252"/>
    <w:rsid w:val="00955A7F"/>
    <w:rsid w:val="00967F5D"/>
    <w:rsid w:val="00975D8A"/>
    <w:rsid w:val="009A0F95"/>
    <w:rsid w:val="009A79FF"/>
    <w:rsid w:val="009B3ADF"/>
    <w:rsid w:val="009C1D6C"/>
    <w:rsid w:val="009C3B52"/>
    <w:rsid w:val="009E0BC1"/>
    <w:rsid w:val="009E6817"/>
    <w:rsid w:val="009E6E9A"/>
    <w:rsid w:val="00A01D2B"/>
    <w:rsid w:val="00A42218"/>
    <w:rsid w:val="00A50184"/>
    <w:rsid w:val="00A70249"/>
    <w:rsid w:val="00A70B02"/>
    <w:rsid w:val="00A71D9F"/>
    <w:rsid w:val="00A92E9F"/>
    <w:rsid w:val="00AB62DE"/>
    <w:rsid w:val="00AE46EA"/>
    <w:rsid w:val="00B215A6"/>
    <w:rsid w:val="00B33BEA"/>
    <w:rsid w:val="00B57C9F"/>
    <w:rsid w:val="00B63572"/>
    <w:rsid w:val="00B845B3"/>
    <w:rsid w:val="00B85D8B"/>
    <w:rsid w:val="00BB4A40"/>
    <w:rsid w:val="00BD2534"/>
    <w:rsid w:val="00BD6C3E"/>
    <w:rsid w:val="00BE357F"/>
    <w:rsid w:val="00BE3674"/>
    <w:rsid w:val="00C10681"/>
    <w:rsid w:val="00C168EE"/>
    <w:rsid w:val="00C3049A"/>
    <w:rsid w:val="00C31B1E"/>
    <w:rsid w:val="00C66ADB"/>
    <w:rsid w:val="00C77645"/>
    <w:rsid w:val="00CA15D2"/>
    <w:rsid w:val="00CB3932"/>
    <w:rsid w:val="00CE04C3"/>
    <w:rsid w:val="00CE76A0"/>
    <w:rsid w:val="00D148C6"/>
    <w:rsid w:val="00D17A8A"/>
    <w:rsid w:val="00D246ED"/>
    <w:rsid w:val="00D3658D"/>
    <w:rsid w:val="00D415BA"/>
    <w:rsid w:val="00D63780"/>
    <w:rsid w:val="00D644EE"/>
    <w:rsid w:val="00D75489"/>
    <w:rsid w:val="00DA58CC"/>
    <w:rsid w:val="00DB68FC"/>
    <w:rsid w:val="00DD06FF"/>
    <w:rsid w:val="00DD123B"/>
    <w:rsid w:val="00DD5FE9"/>
    <w:rsid w:val="00DE6262"/>
    <w:rsid w:val="00E00C7A"/>
    <w:rsid w:val="00E209CF"/>
    <w:rsid w:val="00E37D6C"/>
    <w:rsid w:val="00E55B68"/>
    <w:rsid w:val="00E67BE6"/>
    <w:rsid w:val="00E8683C"/>
    <w:rsid w:val="00EA2B72"/>
    <w:rsid w:val="00EC44E6"/>
    <w:rsid w:val="00EE1A28"/>
    <w:rsid w:val="00F05458"/>
    <w:rsid w:val="00F74360"/>
    <w:rsid w:val="00FB462F"/>
    <w:rsid w:val="00FD54FA"/>
    <w:rsid w:val="00FE16FA"/>
    <w:rsid w:val="00FE328A"/>
    <w:rsid w:val="00FE3A55"/>
    <w:rsid w:val="00FE6269"/>
    <w:rsid w:val="00FF5CD6"/>
    <w:rsid w:val="025A9A39"/>
    <w:rsid w:val="045D3C6F"/>
    <w:rsid w:val="067FAD28"/>
    <w:rsid w:val="07AD2AAB"/>
    <w:rsid w:val="09D5FBF8"/>
    <w:rsid w:val="0C970E9C"/>
    <w:rsid w:val="0DEE9A17"/>
    <w:rsid w:val="0E825B30"/>
    <w:rsid w:val="0FB20986"/>
    <w:rsid w:val="12CD1D08"/>
    <w:rsid w:val="131B6383"/>
    <w:rsid w:val="13891289"/>
    <w:rsid w:val="13BF6692"/>
    <w:rsid w:val="14AE1F25"/>
    <w:rsid w:val="177B97AB"/>
    <w:rsid w:val="17BD8668"/>
    <w:rsid w:val="17EEA93A"/>
    <w:rsid w:val="17FB745C"/>
    <w:rsid w:val="18C7014D"/>
    <w:rsid w:val="18CF2672"/>
    <w:rsid w:val="1A1A3838"/>
    <w:rsid w:val="1A8A3DEE"/>
    <w:rsid w:val="1B0016FF"/>
    <w:rsid w:val="1B7FE680"/>
    <w:rsid w:val="1B830F69"/>
    <w:rsid w:val="1BED23B7"/>
    <w:rsid w:val="1BFD1248"/>
    <w:rsid w:val="1EBB4766"/>
    <w:rsid w:val="1F7D2E89"/>
    <w:rsid w:val="1FE7C15E"/>
    <w:rsid w:val="1FFC6C92"/>
    <w:rsid w:val="23EE1C70"/>
    <w:rsid w:val="241F37F9"/>
    <w:rsid w:val="25E92311"/>
    <w:rsid w:val="25FE543E"/>
    <w:rsid w:val="26853DB9"/>
    <w:rsid w:val="26F96106"/>
    <w:rsid w:val="27F75C3C"/>
    <w:rsid w:val="294824E3"/>
    <w:rsid w:val="29BE9851"/>
    <w:rsid w:val="2A585CB7"/>
    <w:rsid w:val="2A5D2D7F"/>
    <w:rsid w:val="2B7E7CA2"/>
    <w:rsid w:val="2B914B2C"/>
    <w:rsid w:val="2C1856FE"/>
    <w:rsid w:val="2C656A09"/>
    <w:rsid w:val="2C6D1368"/>
    <w:rsid w:val="2D512CF7"/>
    <w:rsid w:val="2DB77BDA"/>
    <w:rsid w:val="2DBF3C44"/>
    <w:rsid w:val="2DD3C2A1"/>
    <w:rsid w:val="2E2C5491"/>
    <w:rsid w:val="2EA9A78D"/>
    <w:rsid w:val="2F57AC5C"/>
    <w:rsid w:val="2F9DECEA"/>
    <w:rsid w:val="2FBA8C6F"/>
    <w:rsid w:val="2FEF0E58"/>
    <w:rsid w:val="2FFF3B21"/>
    <w:rsid w:val="30992302"/>
    <w:rsid w:val="31411253"/>
    <w:rsid w:val="314D0BA1"/>
    <w:rsid w:val="34640441"/>
    <w:rsid w:val="34976243"/>
    <w:rsid w:val="34FE7A39"/>
    <w:rsid w:val="357BB1D0"/>
    <w:rsid w:val="365F4952"/>
    <w:rsid w:val="36B407B1"/>
    <w:rsid w:val="37B58092"/>
    <w:rsid w:val="37F7CB22"/>
    <w:rsid w:val="38966328"/>
    <w:rsid w:val="39375646"/>
    <w:rsid w:val="39C5E4CF"/>
    <w:rsid w:val="39FE7C33"/>
    <w:rsid w:val="3AA9D48B"/>
    <w:rsid w:val="3B181DBA"/>
    <w:rsid w:val="3B7E4220"/>
    <w:rsid w:val="3B9F65E9"/>
    <w:rsid w:val="3BB7546D"/>
    <w:rsid w:val="3BBF1949"/>
    <w:rsid w:val="3BC5CF1F"/>
    <w:rsid w:val="3BFC8538"/>
    <w:rsid w:val="3CCF5693"/>
    <w:rsid w:val="3D13064F"/>
    <w:rsid w:val="3D8F2504"/>
    <w:rsid w:val="3DEF77F6"/>
    <w:rsid w:val="3EA3C421"/>
    <w:rsid w:val="3EC7B7C9"/>
    <w:rsid w:val="3F3FC14C"/>
    <w:rsid w:val="3F5E24BD"/>
    <w:rsid w:val="3F770ACE"/>
    <w:rsid w:val="3F7F13CA"/>
    <w:rsid w:val="3F95BAD0"/>
    <w:rsid w:val="3FBC9D96"/>
    <w:rsid w:val="3FCE7732"/>
    <w:rsid w:val="3FEDA81C"/>
    <w:rsid w:val="3FFAD0AE"/>
    <w:rsid w:val="400F2B16"/>
    <w:rsid w:val="407D6CFD"/>
    <w:rsid w:val="42AF7614"/>
    <w:rsid w:val="450F37B3"/>
    <w:rsid w:val="45FE412C"/>
    <w:rsid w:val="467C7A59"/>
    <w:rsid w:val="47CD67BD"/>
    <w:rsid w:val="47DFFD28"/>
    <w:rsid w:val="47F7B24F"/>
    <w:rsid w:val="4802595B"/>
    <w:rsid w:val="482C2693"/>
    <w:rsid w:val="496679E4"/>
    <w:rsid w:val="49E65108"/>
    <w:rsid w:val="4B9BE135"/>
    <w:rsid w:val="4BA7573F"/>
    <w:rsid w:val="4D675630"/>
    <w:rsid w:val="4F066A1D"/>
    <w:rsid w:val="4FDF5B90"/>
    <w:rsid w:val="50FD073D"/>
    <w:rsid w:val="514D1944"/>
    <w:rsid w:val="52DB28E5"/>
    <w:rsid w:val="53922B81"/>
    <w:rsid w:val="54C94F38"/>
    <w:rsid w:val="54F8D4E1"/>
    <w:rsid w:val="558ABE8D"/>
    <w:rsid w:val="55BF5AF5"/>
    <w:rsid w:val="56144A51"/>
    <w:rsid w:val="56CF985A"/>
    <w:rsid w:val="56EFBB84"/>
    <w:rsid w:val="56FFE8EB"/>
    <w:rsid w:val="570FFD9D"/>
    <w:rsid w:val="57210A63"/>
    <w:rsid w:val="57FF1FF4"/>
    <w:rsid w:val="59FB4A5D"/>
    <w:rsid w:val="59FDEB0E"/>
    <w:rsid w:val="5B7E67DE"/>
    <w:rsid w:val="5BFF23F6"/>
    <w:rsid w:val="5C7770DB"/>
    <w:rsid w:val="5CDECC6C"/>
    <w:rsid w:val="5CFC85B4"/>
    <w:rsid w:val="5D19768E"/>
    <w:rsid w:val="5D7B14C7"/>
    <w:rsid w:val="5DEDDC80"/>
    <w:rsid w:val="5DFC6DFF"/>
    <w:rsid w:val="5DFDBA7B"/>
    <w:rsid w:val="5DFF0EA8"/>
    <w:rsid w:val="5E3D63A6"/>
    <w:rsid w:val="5E4FCB8A"/>
    <w:rsid w:val="5E7FDF19"/>
    <w:rsid w:val="5EBFC3B1"/>
    <w:rsid w:val="5EDDAEB9"/>
    <w:rsid w:val="5EE78B0B"/>
    <w:rsid w:val="5EEFBDD6"/>
    <w:rsid w:val="5EFB6336"/>
    <w:rsid w:val="5F57F689"/>
    <w:rsid w:val="5F5DAA75"/>
    <w:rsid w:val="5F9FEDB4"/>
    <w:rsid w:val="5FCB631E"/>
    <w:rsid w:val="5FCEFCB8"/>
    <w:rsid w:val="5FDF31B9"/>
    <w:rsid w:val="5FEB0DB8"/>
    <w:rsid w:val="5FF7531D"/>
    <w:rsid w:val="5FFB5C16"/>
    <w:rsid w:val="612023A6"/>
    <w:rsid w:val="6260587F"/>
    <w:rsid w:val="62B1444F"/>
    <w:rsid w:val="63D07D38"/>
    <w:rsid w:val="63D5F0A0"/>
    <w:rsid w:val="649E1F66"/>
    <w:rsid w:val="64DB532F"/>
    <w:rsid w:val="65007971"/>
    <w:rsid w:val="65A45331"/>
    <w:rsid w:val="65ABB2FF"/>
    <w:rsid w:val="65D14E6A"/>
    <w:rsid w:val="65DA4624"/>
    <w:rsid w:val="65FBEC9C"/>
    <w:rsid w:val="66EC4B93"/>
    <w:rsid w:val="66EF3A03"/>
    <w:rsid w:val="66FF3F76"/>
    <w:rsid w:val="67181DAC"/>
    <w:rsid w:val="676D1BC3"/>
    <w:rsid w:val="6775B83A"/>
    <w:rsid w:val="6775F209"/>
    <w:rsid w:val="677DCE9D"/>
    <w:rsid w:val="67A63741"/>
    <w:rsid w:val="67BE5652"/>
    <w:rsid w:val="67F0E083"/>
    <w:rsid w:val="67FFA191"/>
    <w:rsid w:val="6960187C"/>
    <w:rsid w:val="69BF1060"/>
    <w:rsid w:val="69BFEB55"/>
    <w:rsid w:val="69DC7607"/>
    <w:rsid w:val="6A5D5090"/>
    <w:rsid w:val="6AED097E"/>
    <w:rsid w:val="6B6C2217"/>
    <w:rsid w:val="6BAFDA8D"/>
    <w:rsid w:val="6BB46057"/>
    <w:rsid w:val="6BCB8B3E"/>
    <w:rsid w:val="6BD96616"/>
    <w:rsid w:val="6BDF5A58"/>
    <w:rsid w:val="6BFAD7B3"/>
    <w:rsid w:val="6D170ADE"/>
    <w:rsid w:val="6D94617F"/>
    <w:rsid w:val="6DCB7F38"/>
    <w:rsid w:val="6DEA58DD"/>
    <w:rsid w:val="6E7EB6CE"/>
    <w:rsid w:val="6E87E42B"/>
    <w:rsid w:val="6ED2BCFC"/>
    <w:rsid w:val="6EDB02F8"/>
    <w:rsid w:val="6EED99B3"/>
    <w:rsid w:val="6EEF62B4"/>
    <w:rsid w:val="6EFB898A"/>
    <w:rsid w:val="6EFE2CCE"/>
    <w:rsid w:val="6F4F7FE0"/>
    <w:rsid w:val="6FA294C0"/>
    <w:rsid w:val="6FB9C4A4"/>
    <w:rsid w:val="6FCF47B5"/>
    <w:rsid w:val="6FDDA5D5"/>
    <w:rsid w:val="6FDF9A4B"/>
    <w:rsid w:val="6FDFAEB8"/>
    <w:rsid w:val="6FF753D1"/>
    <w:rsid w:val="6FFB1772"/>
    <w:rsid w:val="6FFDD043"/>
    <w:rsid w:val="6FFEE50F"/>
    <w:rsid w:val="6FFF801B"/>
    <w:rsid w:val="71DE9349"/>
    <w:rsid w:val="735B29D0"/>
    <w:rsid w:val="73AF6249"/>
    <w:rsid w:val="73F7E213"/>
    <w:rsid w:val="73FD415E"/>
    <w:rsid w:val="742612C4"/>
    <w:rsid w:val="74BFBC05"/>
    <w:rsid w:val="753AB742"/>
    <w:rsid w:val="75FBF307"/>
    <w:rsid w:val="761A94E2"/>
    <w:rsid w:val="767FFD5F"/>
    <w:rsid w:val="770FD994"/>
    <w:rsid w:val="776FCAB7"/>
    <w:rsid w:val="77754BBB"/>
    <w:rsid w:val="7777873D"/>
    <w:rsid w:val="777AEA1B"/>
    <w:rsid w:val="7797DFAE"/>
    <w:rsid w:val="779EB8A1"/>
    <w:rsid w:val="77BF0711"/>
    <w:rsid w:val="77C34F52"/>
    <w:rsid w:val="77D373D7"/>
    <w:rsid w:val="77DD70E4"/>
    <w:rsid w:val="77ED35E9"/>
    <w:rsid w:val="77EF5E41"/>
    <w:rsid w:val="77FB5BB7"/>
    <w:rsid w:val="77FFFA8E"/>
    <w:rsid w:val="787F0F6B"/>
    <w:rsid w:val="793C4B0D"/>
    <w:rsid w:val="797FBFC8"/>
    <w:rsid w:val="799F2EF1"/>
    <w:rsid w:val="79AE6915"/>
    <w:rsid w:val="79AF8071"/>
    <w:rsid w:val="79FD88EE"/>
    <w:rsid w:val="79FE76F6"/>
    <w:rsid w:val="7ADF02E4"/>
    <w:rsid w:val="7AF55C80"/>
    <w:rsid w:val="7AFF2E11"/>
    <w:rsid w:val="7B47D74D"/>
    <w:rsid w:val="7B5D1437"/>
    <w:rsid w:val="7B6D1BB0"/>
    <w:rsid w:val="7B7C9E64"/>
    <w:rsid w:val="7BA74472"/>
    <w:rsid w:val="7BB18358"/>
    <w:rsid w:val="7BBA940F"/>
    <w:rsid w:val="7BBB43FC"/>
    <w:rsid w:val="7BC8E3A2"/>
    <w:rsid w:val="7BD78359"/>
    <w:rsid w:val="7BDB91E7"/>
    <w:rsid w:val="7BDF5491"/>
    <w:rsid w:val="7BDFCC71"/>
    <w:rsid w:val="7BDFCEC5"/>
    <w:rsid w:val="7BED28BE"/>
    <w:rsid w:val="7BF501C9"/>
    <w:rsid w:val="7BF9A089"/>
    <w:rsid w:val="7BFE77FE"/>
    <w:rsid w:val="7BFFBE31"/>
    <w:rsid w:val="7CF55854"/>
    <w:rsid w:val="7CFFC607"/>
    <w:rsid w:val="7D5DB823"/>
    <w:rsid w:val="7D71B031"/>
    <w:rsid w:val="7D7F41B4"/>
    <w:rsid w:val="7D7FEFD5"/>
    <w:rsid w:val="7DADA07A"/>
    <w:rsid w:val="7DBFE1C1"/>
    <w:rsid w:val="7DDD9954"/>
    <w:rsid w:val="7DE68567"/>
    <w:rsid w:val="7DEB5655"/>
    <w:rsid w:val="7DED544C"/>
    <w:rsid w:val="7DEFEDB9"/>
    <w:rsid w:val="7DF710A3"/>
    <w:rsid w:val="7DF973D6"/>
    <w:rsid w:val="7DFCA3AC"/>
    <w:rsid w:val="7DFF4F1C"/>
    <w:rsid w:val="7E7545DF"/>
    <w:rsid w:val="7E7A0433"/>
    <w:rsid w:val="7E7FB24D"/>
    <w:rsid w:val="7EA321AF"/>
    <w:rsid w:val="7EAD7D46"/>
    <w:rsid w:val="7EBF0A24"/>
    <w:rsid w:val="7EBF781D"/>
    <w:rsid w:val="7EBF8B46"/>
    <w:rsid w:val="7EDF1260"/>
    <w:rsid w:val="7EDF2E1C"/>
    <w:rsid w:val="7EDF9E6F"/>
    <w:rsid w:val="7EE92908"/>
    <w:rsid w:val="7EEF7155"/>
    <w:rsid w:val="7EF75A5B"/>
    <w:rsid w:val="7EFDC735"/>
    <w:rsid w:val="7EFF5FF1"/>
    <w:rsid w:val="7EFFE2B7"/>
    <w:rsid w:val="7F293AE4"/>
    <w:rsid w:val="7F6BF5E7"/>
    <w:rsid w:val="7F74DC69"/>
    <w:rsid w:val="7F7FAE61"/>
    <w:rsid w:val="7F93A7AF"/>
    <w:rsid w:val="7F96E731"/>
    <w:rsid w:val="7FBABA48"/>
    <w:rsid w:val="7FBB548C"/>
    <w:rsid w:val="7FBC04CE"/>
    <w:rsid w:val="7FBF69E2"/>
    <w:rsid w:val="7FCF19A1"/>
    <w:rsid w:val="7FCFF0E1"/>
    <w:rsid w:val="7FDFE4A9"/>
    <w:rsid w:val="7FE08AC7"/>
    <w:rsid w:val="7FE7CD10"/>
    <w:rsid w:val="7FEDE731"/>
    <w:rsid w:val="7FEE0A67"/>
    <w:rsid w:val="7FEF43B6"/>
    <w:rsid w:val="7FF56D18"/>
    <w:rsid w:val="7FF59A03"/>
    <w:rsid w:val="7FF74A62"/>
    <w:rsid w:val="7FF791E3"/>
    <w:rsid w:val="7FF89B85"/>
    <w:rsid w:val="7FFBC58D"/>
    <w:rsid w:val="7FFD0ED8"/>
    <w:rsid w:val="7FFDC100"/>
    <w:rsid w:val="7FFDFCD4"/>
    <w:rsid w:val="7FFF0588"/>
    <w:rsid w:val="7FFF3E29"/>
    <w:rsid w:val="7FFF4013"/>
    <w:rsid w:val="7FFF452F"/>
    <w:rsid w:val="7FFFB42D"/>
    <w:rsid w:val="7FFFC69C"/>
    <w:rsid w:val="7FFFFB5B"/>
    <w:rsid w:val="8B777E18"/>
    <w:rsid w:val="8B7E5E8D"/>
    <w:rsid w:val="8BFF9CFC"/>
    <w:rsid w:val="8FBBCBBB"/>
    <w:rsid w:val="8FFF2AE1"/>
    <w:rsid w:val="959FF9F7"/>
    <w:rsid w:val="973FB79C"/>
    <w:rsid w:val="97DD1A04"/>
    <w:rsid w:val="9AFD11DE"/>
    <w:rsid w:val="9C7EA57D"/>
    <w:rsid w:val="9D9E3696"/>
    <w:rsid w:val="9DEB64EA"/>
    <w:rsid w:val="9F3F5025"/>
    <w:rsid w:val="9FEFD11E"/>
    <w:rsid w:val="A758AC51"/>
    <w:rsid w:val="A7FB4957"/>
    <w:rsid w:val="A8B71B80"/>
    <w:rsid w:val="A9AF06AD"/>
    <w:rsid w:val="A9CFCC60"/>
    <w:rsid w:val="AA7E53A9"/>
    <w:rsid w:val="AB7F3906"/>
    <w:rsid w:val="ABD70355"/>
    <w:rsid w:val="AEFE0037"/>
    <w:rsid w:val="AFCE43DB"/>
    <w:rsid w:val="B49CA622"/>
    <w:rsid w:val="B61FE359"/>
    <w:rsid w:val="B6CB16E1"/>
    <w:rsid w:val="B77E88B6"/>
    <w:rsid w:val="B7A5DBB2"/>
    <w:rsid w:val="B7AF5DF4"/>
    <w:rsid w:val="B7FE1051"/>
    <w:rsid w:val="B9BF13C2"/>
    <w:rsid w:val="B9FF0631"/>
    <w:rsid w:val="B9FFDE07"/>
    <w:rsid w:val="BAE64231"/>
    <w:rsid w:val="BB7FAFBE"/>
    <w:rsid w:val="BBE3230B"/>
    <w:rsid w:val="BBEEE6D8"/>
    <w:rsid w:val="BBFE81C9"/>
    <w:rsid w:val="BD2B04F0"/>
    <w:rsid w:val="BDD2755C"/>
    <w:rsid w:val="BDFAD703"/>
    <w:rsid w:val="BE645A9F"/>
    <w:rsid w:val="BE7F7E6F"/>
    <w:rsid w:val="BEB7383F"/>
    <w:rsid w:val="BEDF0383"/>
    <w:rsid w:val="BEE64308"/>
    <w:rsid w:val="BF7E3699"/>
    <w:rsid w:val="BF7F4158"/>
    <w:rsid w:val="BFAD9127"/>
    <w:rsid w:val="BFAF0DFC"/>
    <w:rsid w:val="BFDAB454"/>
    <w:rsid w:val="BFDF586F"/>
    <w:rsid w:val="BFF3248E"/>
    <w:rsid w:val="BFFA0580"/>
    <w:rsid w:val="BFFA113C"/>
    <w:rsid w:val="C0FDED07"/>
    <w:rsid w:val="C5FFBFE5"/>
    <w:rsid w:val="C7F38ACC"/>
    <w:rsid w:val="C7FF2A48"/>
    <w:rsid w:val="CBDEB6B1"/>
    <w:rsid w:val="CE957A9A"/>
    <w:rsid w:val="CEBBDF82"/>
    <w:rsid w:val="CF3F9AB9"/>
    <w:rsid w:val="CF7DD893"/>
    <w:rsid w:val="CF7E9FB3"/>
    <w:rsid w:val="CFFF25C4"/>
    <w:rsid w:val="D33BF89C"/>
    <w:rsid w:val="D3BF2FDE"/>
    <w:rsid w:val="D53F6318"/>
    <w:rsid w:val="D66BA4E3"/>
    <w:rsid w:val="D6D7DC8D"/>
    <w:rsid w:val="D6FEB957"/>
    <w:rsid w:val="D723FEDD"/>
    <w:rsid w:val="D73DB87C"/>
    <w:rsid w:val="D77FD547"/>
    <w:rsid w:val="D7B30711"/>
    <w:rsid w:val="D7BB45C2"/>
    <w:rsid w:val="D7BF8675"/>
    <w:rsid w:val="D7D44000"/>
    <w:rsid w:val="D7D663CE"/>
    <w:rsid w:val="D7DFEAA1"/>
    <w:rsid w:val="D7E7468A"/>
    <w:rsid w:val="D91BEBEB"/>
    <w:rsid w:val="DABB95CE"/>
    <w:rsid w:val="DB75AE15"/>
    <w:rsid w:val="DB9A7DC3"/>
    <w:rsid w:val="DBF56A72"/>
    <w:rsid w:val="DBFF4157"/>
    <w:rsid w:val="DCF303CF"/>
    <w:rsid w:val="DD5F8CC6"/>
    <w:rsid w:val="DD6E7D58"/>
    <w:rsid w:val="DDBF4476"/>
    <w:rsid w:val="DDEC58CD"/>
    <w:rsid w:val="DE799E22"/>
    <w:rsid w:val="DF31F220"/>
    <w:rsid w:val="DF380CD5"/>
    <w:rsid w:val="DF7D5E31"/>
    <w:rsid w:val="DF9FB9EE"/>
    <w:rsid w:val="DFBC9F62"/>
    <w:rsid w:val="DFCF1E60"/>
    <w:rsid w:val="DFDB745F"/>
    <w:rsid w:val="DFDF53C1"/>
    <w:rsid w:val="DFDFB9A2"/>
    <w:rsid w:val="DFEB73A1"/>
    <w:rsid w:val="DFEEA8A2"/>
    <w:rsid w:val="DFEF3730"/>
    <w:rsid w:val="DFEF6691"/>
    <w:rsid w:val="DFFD7FA2"/>
    <w:rsid w:val="DFFF1BC6"/>
    <w:rsid w:val="E16FB568"/>
    <w:rsid w:val="E3C32A6E"/>
    <w:rsid w:val="E3DF725C"/>
    <w:rsid w:val="E3FDC317"/>
    <w:rsid w:val="E4ED8FA7"/>
    <w:rsid w:val="E5DF406D"/>
    <w:rsid w:val="E5FC5D5E"/>
    <w:rsid w:val="E77042D0"/>
    <w:rsid w:val="E7BD0F6B"/>
    <w:rsid w:val="E7DADCAF"/>
    <w:rsid w:val="E7FEB7E0"/>
    <w:rsid w:val="EAFB2BA2"/>
    <w:rsid w:val="EB5FA9BB"/>
    <w:rsid w:val="EB770C58"/>
    <w:rsid w:val="EB9FECF3"/>
    <w:rsid w:val="EBA7DF07"/>
    <w:rsid w:val="EBB6A408"/>
    <w:rsid w:val="EBFB3803"/>
    <w:rsid w:val="EDF63BC5"/>
    <w:rsid w:val="EE729381"/>
    <w:rsid w:val="EEE69C24"/>
    <w:rsid w:val="EEF5851B"/>
    <w:rsid w:val="EEFFE4A2"/>
    <w:rsid w:val="EF5C8E8F"/>
    <w:rsid w:val="EF85EB15"/>
    <w:rsid w:val="EFB31931"/>
    <w:rsid w:val="EFBF2879"/>
    <w:rsid w:val="EFBF79F1"/>
    <w:rsid w:val="EFF76E3B"/>
    <w:rsid w:val="EFFA220D"/>
    <w:rsid w:val="EFFDE9E3"/>
    <w:rsid w:val="EFFFA14B"/>
    <w:rsid w:val="EFFFB45A"/>
    <w:rsid w:val="F2FBBF5F"/>
    <w:rsid w:val="F33F9AC4"/>
    <w:rsid w:val="F36B916D"/>
    <w:rsid w:val="F36FA158"/>
    <w:rsid w:val="F3E5032C"/>
    <w:rsid w:val="F45F9863"/>
    <w:rsid w:val="F474B715"/>
    <w:rsid w:val="F537E9C2"/>
    <w:rsid w:val="F5B60671"/>
    <w:rsid w:val="F5FE085B"/>
    <w:rsid w:val="F6BF4EB8"/>
    <w:rsid w:val="F6E66A98"/>
    <w:rsid w:val="F737ACFE"/>
    <w:rsid w:val="F7457ED1"/>
    <w:rsid w:val="F773810B"/>
    <w:rsid w:val="F77E9C80"/>
    <w:rsid w:val="F77FA587"/>
    <w:rsid w:val="F797875B"/>
    <w:rsid w:val="F7B7C721"/>
    <w:rsid w:val="F7BDE1B8"/>
    <w:rsid w:val="F7F98D4E"/>
    <w:rsid w:val="F7FCA350"/>
    <w:rsid w:val="F7FF535A"/>
    <w:rsid w:val="F975F2DA"/>
    <w:rsid w:val="F9E9A62E"/>
    <w:rsid w:val="F9FF84E5"/>
    <w:rsid w:val="FA070B8E"/>
    <w:rsid w:val="FABB40A3"/>
    <w:rsid w:val="FAD75853"/>
    <w:rsid w:val="FAF756BC"/>
    <w:rsid w:val="FAFC30A2"/>
    <w:rsid w:val="FAFEE897"/>
    <w:rsid w:val="FB3E4FD3"/>
    <w:rsid w:val="FB3F675B"/>
    <w:rsid w:val="FB532C54"/>
    <w:rsid w:val="FB758635"/>
    <w:rsid w:val="FB76F34B"/>
    <w:rsid w:val="FB77DC81"/>
    <w:rsid w:val="FB784338"/>
    <w:rsid w:val="FB7B38E5"/>
    <w:rsid w:val="FBD3B143"/>
    <w:rsid w:val="FBDD6A89"/>
    <w:rsid w:val="FBEDD954"/>
    <w:rsid w:val="FBEF9E41"/>
    <w:rsid w:val="FBF7FC97"/>
    <w:rsid w:val="FBFF352A"/>
    <w:rsid w:val="FBFF36A6"/>
    <w:rsid w:val="FC75E2BB"/>
    <w:rsid w:val="FC7F5C5A"/>
    <w:rsid w:val="FCAB4B90"/>
    <w:rsid w:val="FCB7CCB9"/>
    <w:rsid w:val="FCFC6186"/>
    <w:rsid w:val="FCFDC1FD"/>
    <w:rsid w:val="FD2E4078"/>
    <w:rsid w:val="FD7BAD1B"/>
    <w:rsid w:val="FD7DA25C"/>
    <w:rsid w:val="FD7E7B0A"/>
    <w:rsid w:val="FDA5AE9F"/>
    <w:rsid w:val="FDBD2BE3"/>
    <w:rsid w:val="FDBE1A4F"/>
    <w:rsid w:val="FDE31AEC"/>
    <w:rsid w:val="FDE3FDC0"/>
    <w:rsid w:val="FDFE05A4"/>
    <w:rsid w:val="FDFF69CA"/>
    <w:rsid w:val="FDFFD049"/>
    <w:rsid w:val="FDFFF382"/>
    <w:rsid w:val="FE6B2911"/>
    <w:rsid w:val="FE6BEBB7"/>
    <w:rsid w:val="FE7346E7"/>
    <w:rsid w:val="FE9FFAF3"/>
    <w:rsid w:val="FEA705FF"/>
    <w:rsid w:val="FEBDB01D"/>
    <w:rsid w:val="FEBDD8BF"/>
    <w:rsid w:val="FEBF9AD5"/>
    <w:rsid w:val="FEBFD552"/>
    <w:rsid w:val="FED5B5A3"/>
    <w:rsid w:val="FEDFDC20"/>
    <w:rsid w:val="FEF700AD"/>
    <w:rsid w:val="FEFC6AC7"/>
    <w:rsid w:val="FEFD7BC1"/>
    <w:rsid w:val="FF1DFF8D"/>
    <w:rsid w:val="FF4E773C"/>
    <w:rsid w:val="FF5737E5"/>
    <w:rsid w:val="FF7658FC"/>
    <w:rsid w:val="FF7E8C6E"/>
    <w:rsid w:val="FF7FB118"/>
    <w:rsid w:val="FF92CABC"/>
    <w:rsid w:val="FF9DBE39"/>
    <w:rsid w:val="FF9F72F7"/>
    <w:rsid w:val="FFA52A37"/>
    <w:rsid w:val="FFAC2096"/>
    <w:rsid w:val="FFAE1D6B"/>
    <w:rsid w:val="FFB77A9C"/>
    <w:rsid w:val="FFB7ED34"/>
    <w:rsid w:val="FFD49718"/>
    <w:rsid w:val="FFD9DA0F"/>
    <w:rsid w:val="FFDF15D4"/>
    <w:rsid w:val="FFDF7886"/>
    <w:rsid w:val="FFDFD428"/>
    <w:rsid w:val="FFE6E4C3"/>
    <w:rsid w:val="FFEA2F1F"/>
    <w:rsid w:val="FFEBF294"/>
    <w:rsid w:val="FFED1B30"/>
    <w:rsid w:val="FFEFBFD0"/>
    <w:rsid w:val="FFF4BB88"/>
    <w:rsid w:val="FFFB6406"/>
    <w:rsid w:val="FFFB817A"/>
    <w:rsid w:val="FFFBAA22"/>
    <w:rsid w:val="FFFBE18C"/>
    <w:rsid w:val="FFFDDD7F"/>
    <w:rsid w:val="FFFEDD53"/>
    <w:rsid w:val="FFFF0567"/>
    <w:rsid w:val="FFFF567E"/>
    <w:rsid w:val="FFFF72F1"/>
    <w:rsid w:val="FFFF8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5586</Words>
  <Characters>6259</Characters>
  <Lines>46</Lines>
  <Paragraphs>13</Paragraphs>
  <TotalTime>0</TotalTime>
  <ScaleCrop>false</ScaleCrop>
  <LinksUpToDate>false</LinksUpToDate>
  <CharactersWithSpaces>6302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2020-07-03T18:32:00Z</dcterms:created>
  <dc:creator>李航 null</dc:creator>
  <cp:lastModifiedBy>kylin</cp:lastModifiedBy>
  <cp:lastPrinted>2022-09-15T19:53:00Z</cp:lastPrinted>
  <dcterms:modified xsi:type="dcterms:W3CDTF">2022-09-23T10:06:55Z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CEE550453AE546E684BF89B901E0C49A</vt:lpwstr>
  </property>
</Properties>
</file>