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w:t>
      </w:r>
      <w:r>
        <w:rPr>
          <w:rFonts w:hint="eastAsia"/>
          <w:sz w:val="84"/>
          <w:szCs w:val="84"/>
          <w:lang w:val="en-US" w:eastAsia="zh-CN"/>
        </w:rPr>
        <w:t>1</w:t>
      </w:r>
      <w:r>
        <w:rPr>
          <w:rFonts w:hint="eastAsia"/>
          <w:sz w:val="84"/>
          <w:szCs w:val="84"/>
        </w:rPr>
        <w:t>年度</w:t>
      </w:r>
    </w:p>
    <w:p>
      <w:pPr>
        <w:pStyle w:val="12"/>
        <w:jc w:val="center"/>
        <w:rPr>
          <w:rFonts w:hint="default" w:eastAsia="黑体"/>
          <w:sz w:val="84"/>
          <w:szCs w:val="84"/>
          <w:lang w:val="en-US" w:eastAsia="zh-CN"/>
        </w:rPr>
      </w:pPr>
      <w:r>
        <w:rPr>
          <w:rFonts w:hint="eastAsia"/>
          <w:sz w:val="84"/>
          <w:szCs w:val="84"/>
          <w:lang w:eastAsia="zh-CN"/>
        </w:rPr>
        <w:t>永州市工业和信息化局</w:t>
      </w:r>
      <w:r>
        <w:rPr>
          <w:rFonts w:hint="eastAsia"/>
          <w:sz w:val="84"/>
          <w:szCs w:val="84"/>
        </w:rPr>
        <w:t>部门决算</w:t>
      </w:r>
      <w:r>
        <w:rPr>
          <w:rFonts w:hint="eastAsia"/>
          <w:sz w:val="84"/>
          <w:szCs w:val="84"/>
          <w:lang w:val="en-US" w:eastAsia="zh-CN"/>
        </w:rPr>
        <w:t>公开报告</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rPr>
          <w:sz w:val="32"/>
          <w:szCs w:val="32"/>
        </w:rPr>
      </w:pPr>
    </w:p>
    <w:p>
      <w:pPr>
        <w:pStyle w:val="12"/>
        <w:jc w:val="center"/>
        <w:rPr>
          <w:sz w:val="32"/>
          <w:szCs w:val="32"/>
        </w:rPr>
      </w:pPr>
    </w:p>
    <w:p>
      <w:pPr>
        <w:pStyle w:val="12"/>
        <w:spacing w:line="500" w:lineRule="exact"/>
        <w:jc w:val="both"/>
        <w:rPr>
          <w:b/>
          <w:sz w:val="36"/>
          <w:szCs w:val="28"/>
        </w:rPr>
      </w:pPr>
    </w:p>
    <w:p>
      <w:pPr>
        <w:pStyle w:val="12"/>
        <w:keepNext w:val="0"/>
        <w:keepLines w:val="0"/>
        <w:pageBreakBefore w:val="0"/>
        <w:widowControl w:val="0"/>
        <w:kinsoku/>
        <w:wordWrap/>
        <w:overflowPunct/>
        <w:topLinePunct w:val="0"/>
        <w:bidi w:val="0"/>
        <w:adjustRightInd/>
        <w:snapToGrid/>
        <w:spacing w:line="440" w:lineRule="exact"/>
        <w:jc w:val="center"/>
        <w:textAlignment w:val="auto"/>
        <w:rPr>
          <w:rFonts w:hint="eastAsia"/>
          <w:b/>
          <w:sz w:val="36"/>
          <w:szCs w:val="28"/>
        </w:rPr>
      </w:pPr>
      <w:r>
        <w:rPr>
          <w:rFonts w:hint="eastAsia"/>
          <w:b/>
          <w:sz w:val="36"/>
          <w:szCs w:val="28"/>
        </w:rPr>
        <w:t>目录</w:t>
      </w:r>
    </w:p>
    <w:p>
      <w:pPr>
        <w:pStyle w:val="12"/>
        <w:keepNext w:val="0"/>
        <w:keepLines w:val="0"/>
        <w:pageBreakBefore w:val="0"/>
        <w:widowControl w:val="0"/>
        <w:kinsoku/>
        <w:wordWrap/>
        <w:overflowPunct/>
        <w:topLinePunct w:val="0"/>
        <w:bidi w:val="0"/>
        <w:adjustRightInd/>
        <w:snapToGrid/>
        <w:spacing w:line="440" w:lineRule="exact"/>
        <w:jc w:val="center"/>
        <w:textAlignment w:val="auto"/>
        <w:rPr>
          <w:rFonts w:hint="eastAsia"/>
          <w:b/>
          <w:sz w:val="36"/>
          <w:szCs w:val="28"/>
        </w:rPr>
      </w:pP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ascii="仿宋_GB2312" w:hAnsi="仿宋_GB2312" w:cs="仿宋_GB2312"/>
          <w:b w:val="0"/>
          <w:bCs/>
          <w:sz w:val="28"/>
          <w:szCs w:val="28"/>
        </w:rPr>
      </w:pPr>
      <w:r>
        <w:rPr>
          <w:rFonts w:hint="eastAsia"/>
          <w:b w:val="0"/>
          <w:bCs/>
          <w:sz w:val="28"/>
          <w:szCs w:val="28"/>
        </w:rPr>
        <w:t>第一部分</w:t>
      </w:r>
      <w:r>
        <w:rPr>
          <w:rFonts w:hint="eastAsia"/>
          <w:b w:val="0"/>
          <w:bCs/>
          <w:sz w:val="28"/>
          <w:szCs w:val="28"/>
          <w:lang w:val="en-US" w:eastAsia="zh-CN"/>
        </w:rPr>
        <w:t xml:space="preserve"> </w:t>
      </w:r>
      <w:r>
        <w:rPr>
          <w:rFonts w:hint="eastAsia"/>
          <w:b w:val="0"/>
          <w:bCs/>
          <w:sz w:val="28"/>
          <w:szCs w:val="28"/>
          <w:lang w:eastAsia="zh-CN"/>
        </w:rPr>
        <w:t>永州市工业和信息化局</w:t>
      </w:r>
      <w:r>
        <w:rPr>
          <w:rFonts w:hint="eastAsia"/>
          <w:b w:val="0"/>
          <w:bCs/>
          <w:sz w:val="28"/>
          <w:szCs w:val="28"/>
        </w:rPr>
        <w:t>单位概况</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b w:val="0"/>
          <w:bCs/>
          <w:sz w:val="28"/>
          <w:szCs w:val="28"/>
        </w:rPr>
      </w:pPr>
      <w:r>
        <w:rPr>
          <w:rFonts w:hint="eastAsia"/>
          <w:b w:val="0"/>
          <w:bCs/>
          <w:sz w:val="28"/>
          <w:szCs w:val="28"/>
        </w:rPr>
        <w:t>第二部分</w:t>
      </w:r>
      <w:r>
        <w:rPr>
          <w:rFonts w:hint="eastAsia"/>
          <w:b w:val="0"/>
          <w:bCs/>
          <w:sz w:val="28"/>
          <w:szCs w:val="28"/>
          <w:lang w:val="en-US" w:eastAsia="zh-CN"/>
        </w:rPr>
        <w:t xml:space="preserve"> </w:t>
      </w:r>
      <w:r>
        <w:rPr>
          <w:rFonts w:hint="eastAsia"/>
          <w:b w:val="0"/>
          <w:bCs/>
          <w:sz w:val="28"/>
          <w:szCs w:val="28"/>
        </w:rPr>
        <w:t>202</w:t>
      </w:r>
      <w:r>
        <w:rPr>
          <w:rFonts w:hint="eastAsia"/>
          <w:b w:val="0"/>
          <w:bCs/>
          <w:sz w:val="28"/>
          <w:szCs w:val="28"/>
          <w:lang w:val="en-US" w:eastAsia="zh-CN"/>
        </w:rPr>
        <w:t>1</w:t>
      </w:r>
      <w:r>
        <w:rPr>
          <w:rFonts w:hint="eastAsia"/>
          <w:b w:val="0"/>
          <w:bCs/>
          <w:sz w:val="28"/>
          <w:szCs w:val="28"/>
        </w:rPr>
        <w:t>年度部门决算表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b w:val="0"/>
          <w:bCs/>
          <w:sz w:val="28"/>
          <w:szCs w:val="28"/>
        </w:rPr>
      </w:pPr>
      <w:r>
        <w:rPr>
          <w:rFonts w:hint="eastAsia"/>
          <w:b w:val="0"/>
          <w:bCs/>
          <w:sz w:val="28"/>
          <w:szCs w:val="28"/>
        </w:rPr>
        <w:t>第三部分</w:t>
      </w:r>
      <w:r>
        <w:rPr>
          <w:rFonts w:hint="eastAsia"/>
          <w:b w:val="0"/>
          <w:bCs/>
          <w:sz w:val="28"/>
          <w:szCs w:val="28"/>
          <w:lang w:val="en-US" w:eastAsia="zh-CN"/>
        </w:rPr>
        <w:t xml:space="preserve"> </w:t>
      </w:r>
      <w:r>
        <w:rPr>
          <w:rFonts w:hint="eastAsia"/>
          <w:b w:val="0"/>
          <w:bCs/>
          <w:sz w:val="28"/>
          <w:szCs w:val="28"/>
        </w:rPr>
        <w:t>202</w:t>
      </w:r>
      <w:r>
        <w:rPr>
          <w:rFonts w:hint="eastAsia"/>
          <w:b w:val="0"/>
          <w:bCs/>
          <w:sz w:val="28"/>
          <w:szCs w:val="28"/>
          <w:lang w:val="en-US" w:eastAsia="zh-CN"/>
        </w:rPr>
        <w:t>1</w:t>
      </w:r>
      <w:r>
        <w:rPr>
          <w:rFonts w:hint="eastAsia"/>
          <w:b w:val="0"/>
          <w:bCs/>
          <w:sz w:val="28"/>
          <w:szCs w:val="28"/>
        </w:rPr>
        <w:t>年度部门决算情况说明</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adjustRightInd/>
        <w:snapToGrid/>
        <w:spacing w:line="440" w:lineRule="exact"/>
        <w:ind w:firstLine="560" w:firstLineChars="20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w:t>
      </w:r>
      <w:r>
        <w:rPr>
          <w:rFonts w:hint="eastAsia" w:cs="仿宋_GB2312" w:asciiTheme="minorEastAsia" w:hAnsiTheme="minorEastAsia" w:eastAsiaTheme="minorEastAsia"/>
          <w:sz w:val="28"/>
          <w:szCs w:val="28"/>
          <w:lang w:val="en-US" w:eastAsia="zh-CN"/>
        </w:rPr>
        <w:t>1</w:t>
      </w:r>
      <w:r>
        <w:rPr>
          <w:rFonts w:hint="eastAsia" w:cs="仿宋_GB2312" w:asciiTheme="minorEastAsia" w:hAnsiTheme="minorEastAsia" w:eastAsiaTheme="minorEastAsia"/>
          <w:sz w:val="28"/>
          <w:szCs w:val="28"/>
        </w:rPr>
        <w:t>年</w:t>
      </w:r>
      <w:r>
        <w:rPr>
          <w:rFonts w:hint="eastAsia" w:ascii="仿宋_GB2312" w:hAnsi="仿宋_GB2312" w:cs="仿宋_GB2312" w:eastAsiaTheme="minorEastAsia"/>
          <w:sz w:val="28"/>
          <w:szCs w:val="28"/>
        </w:rPr>
        <w:t>度预算绩效情况的说明</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b w:val="0"/>
          <w:bCs/>
          <w:sz w:val="28"/>
          <w:szCs w:val="28"/>
        </w:rPr>
      </w:pPr>
      <w:r>
        <w:rPr>
          <w:rFonts w:hint="eastAsia"/>
          <w:b w:val="0"/>
          <w:bCs/>
          <w:sz w:val="28"/>
          <w:szCs w:val="28"/>
        </w:rPr>
        <w:t>第四部分</w:t>
      </w:r>
      <w:r>
        <w:rPr>
          <w:rFonts w:hint="eastAsia"/>
          <w:b w:val="0"/>
          <w:bCs/>
          <w:sz w:val="28"/>
          <w:szCs w:val="28"/>
          <w:lang w:val="en-US" w:eastAsia="zh-CN"/>
        </w:rPr>
        <w:t xml:space="preserve"> </w:t>
      </w:r>
      <w:r>
        <w:rPr>
          <w:rFonts w:hint="eastAsia"/>
          <w:b w:val="0"/>
          <w:bCs/>
          <w:sz w:val="28"/>
          <w:szCs w:val="28"/>
        </w:rPr>
        <w:t>名词解释</w:t>
      </w:r>
    </w:p>
    <w:p>
      <w:pPr>
        <w:pStyle w:val="12"/>
        <w:keepNext w:val="0"/>
        <w:keepLines w:val="0"/>
        <w:pageBreakBefore w:val="0"/>
        <w:widowControl w:val="0"/>
        <w:kinsoku/>
        <w:wordWrap/>
        <w:overflowPunct/>
        <w:topLinePunct w:val="0"/>
        <w:bidi w:val="0"/>
        <w:adjustRightInd/>
        <w:snapToGrid/>
        <w:spacing w:line="440" w:lineRule="exact"/>
        <w:ind w:firstLine="560" w:firstLineChars="200"/>
        <w:textAlignment w:val="auto"/>
        <w:rPr>
          <w:sz w:val="72"/>
          <w:szCs w:val="72"/>
        </w:rPr>
      </w:pPr>
      <w:r>
        <w:rPr>
          <w:rFonts w:hint="eastAsia"/>
          <w:b w:val="0"/>
          <w:bCs/>
          <w:sz w:val="28"/>
          <w:szCs w:val="28"/>
        </w:rPr>
        <w:t>第五部分</w:t>
      </w:r>
      <w:r>
        <w:rPr>
          <w:rFonts w:hint="eastAsia"/>
          <w:b w:val="0"/>
          <w:bCs/>
          <w:sz w:val="28"/>
          <w:szCs w:val="28"/>
          <w:lang w:val="en-US" w:eastAsia="zh-CN"/>
        </w:rPr>
        <w:t xml:space="preserve"> </w:t>
      </w:r>
      <w:r>
        <w:rPr>
          <w:rFonts w:hint="eastAsia"/>
          <w:b w:val="0"/>
          <w:bCs/>
          <w:sz w:val="28"/>
          <w:szCs w:val="28"/>
        </w:rPr>
        <w:t>附件</w:t>
      </w:r>
    </w:p>
    <w:p>
      <w:pPr>
        <w:pStyle w:val="12"/>
        <w:jc w:val="center"/>
        <w:rPr>
          <w:rFonts w:hint="eastAsia"/>
          <w:sz w:val="84"/>
          <w:szCs w:val="84"/>
        </w:rPr>
      </w:pPr>
    </w:p>
    <w:p>
      <w:pPr>
        <w:pStyle w:val="12"/>
        <w:jc w:val="center"/>
        <w:rPr>
          <w:rFonts w:hint="eastAsia"/>
          <w:sz w:val="84"/>
          <w:szCs w:val="84"/>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eastAsia="zh-CN"/>
        </w:rPr>
        <w:t>永州市工业和信息化局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pStyle w:val="13"/>
        <w:keepNext w:val="0"/>
        <w:keepLines w:val="0"/>
        <w:pageBreakBefore w:val="0"/>
        <w:numPr>
          <w:ilvl w:val="0"/>
          <w:numId w:val="0"/>
        </w:numPr>
        <w:kinsoku/>
        <w:wordWrap/>
        <w:overflowPunct/>
        <w:topLinePunct w:val="0"/>
        <w:bidi w:val="0"/>
        <w:adjustRightInd/>
        <w:snapToGrid/>
        <w:spacing w:line="560" w:lineRule="exact"/>
        <w:ind w:firstLine="640" w:firstLineChars="200"/>
        <w:jc w:val="left"/>
        <w:textAlignment w:val="auto"/>
        <w:rPr>
          <w:rFonts w:hint="eastAsia" w:ascii="黑体" w:hAnsi="黑体" w:eastAsia="黑体"/>
          <w:sz w:val="32"/>
          <w:szCs w:val="32"/>
          <w:lang w:val="en-US" w:eastAsia="zh-CN"/>
        </w:rPr>
      </w:pPr>
    </w:p>
    <w:p>
      <w:pPr>
        <w:pStyle w:val="13"/>
        <w:keepNext w:val="0"/>
        <w:keepLines w:val="0"/>
        <w:pageBreakBefore w:val="0"/>
        <w:numPr>
          <w:ilvl w:val="0"/>
          <w:numId w:val="0"/>
        </w:numPr>
        <w:kinsoku/>
        <w:wordWrap/>
        <w:overflowPunct/>
        <w:topLinePunct w:val="0"/>
        <w:bidi w:val="0"/>
        <w:adjustRightInd/>
        <w:snapToGrid/>
        <w:spacing w:line="560" w:lineRule="exact"/>
        <w:ind w:firstLine="640" w:firstLineChars="200"/>
        <w:jc w:val="left"/>
        <w:textAlignment w:val="auto"/>
        <w:rPr>
          <w:rFonts w:hint="eastAsia" w:ascii="黑体" w:hAnsi="黑体" w:eastAsia="黑体"/>
          <w:sz w:val="32"/>
          <w:szCs w:val="32"/>
          <w:lang w:val="en-US" w:eastAsia="zh-CN"/>
        </w:rPr>
      </w:pPr>
    </w:p>
    <w:p>
      <w:pPr>
        <w:pStyle w:val="13"/>
        <w:keepNext w:val="0"/>
        <w:keepLines w:val="0"/>
        <w:pageBreakBefore w:val="0"/>
        <w:numPr>
          <w:ilvl w:val="0"/>
          <w:numId w:val="0"/>
        </w:numPr>
        <w:kinsoku/>
        <w:wordWrap/>
        <w:overflowPunct/>
        <w:topLinePunct w:val="0"/>
        <w:bidi w:val="0"/>
        <w:adjustRightInd/>
        <w:snapToGrid/>
        <w:spacing w:line="560" w:lineRule="exact"/>
        <w:ind w:firstLine="640" w:firstLineChars="200"/>
        <w:jc w:val="left"/>
        <w:textAlignment w:val="auto"/>
        <w:rPr>
          <w:rFonts w:hint="eastAsia" w:ascii="黑体" w:hAnsi="黑体" w:eastAsia="黑体"/>
          <w:sz w:val="32"/>
          <w:szCs w:val="32"/>
          <w:lang w:val="en-US" w:eastAsia="zh-CN"/>
        </w:rPr>
      </w:pPr>
    </w:p>
    <w:p>
      <w:pPr>
        <w:pStyle w:val="13"/>
        <w:keepNext w:val="0"/>
        <w:keepLines w:val="0"/>
        <w:pageBreakBefore w:val="0"/>
        <w:numPr>
          <w:ilvl w:val="0"/>
          <w:numId w:val="0"/>
        </w:numPr>
        <w:kinsoku/>
        <w:wordWrap/>
        <w:overflowPunct/>
        <w:topLinePunct w:val="0"/>
        <w:bidi w:val="0"/>
        <w:adjustRightInd/>
        <w:snapToGrid/>
        <w:spacing w:line="560" w:lineRule="exact"/>
        <w:jc w:val="left"/>
        <w:textAlignment w:val="auto"/>
        <w:rPr>
          <w:rFonts w:hint="eastAsia" w:ascii="黑体" w:hAnsi="黑体" w:eastAsia="黑体"/>
          <w:sz w:val="32"/>
          <w:szCs w:val="32"/>
          <w:lang w:val="en-US" w:eastAsia="zh-CN"/>
        </w:rPr>
      </w:pPr>
    </w:p>
    <w:p>
      <w:pPr>
        <w:pStyle w:val="13"/>
        <w:keepNext w:val="0"/>
        <w:keepLines w:val="0"/>
        <w:pageBreakBefore w:val="0"/>
        <w:numPr>
          <w:ilvl w:val="0"/>
          <w:numId w:val="0"/>
        </w:numPr>
        <w:kinsoku/>
        <w:wordWrap/>
        <w:overflowPunct/>
        <w:topLinePunct w:val="0"/>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部门职责</w:t>
      </w:r>
    </w:p>
    <w:p>
      <w:pPr>
        <w:keepNext w:val="0"/>
        <w:keepLines w:val="0"/>
        <w:pageBreakBefore w:val="0"/>
        <w:kinsoku/>
        <w:wordWrap/>
        <w:overflowPunct/>
        <w:topLinePunct w:val="0"/>
        <w:bidi w:val="0"/>
        <w:adjustRightInd/>
        <w:snapToGrid/>
        <w:spacing w:line="560" w:lineRule="exact"/>
        <w:ind w:firstLine="640" w:firstLineChars="200"/>
        <w:jc w:val="left"/>
        <w:textAlignment w:val="auto"/>
        <w:rPr>
          <w:rFonts w:asciiTheme="minorEastAsia" w:hAnsiTheme="minorEastAsia"/>
          <w:b/>
          <w:bCs/>
          <w:kern w:val="0"/>
          <w:sz w:val="32"/>
          <w:szCs w:val="32"/>
        </w:rPr>
      </w:pPr>
      <w:r>
        <w:rPr>
          <w:rFonts w:hint="eastAsia" w:asciiTheme="minorEastAsia" w:hAnsiTheme="minorEastAsia"/>
          <w:sz w:val="32"/>
          <w:szCs w:val="32"/>
        </w:rPr>
        <w:t>（一）</w:t>
      </w:r>
      <w:r>
        <w:rPr>
          <w:rFonts w:hint="eastAsia" w:asciiTheme="minorEastAsia" w:hAnsiTheme="minorEastAsia"/>
          <w:b/>
          <w:bCs/>
          <w:kern w:val="0"/>
          <w:sz w:val="32"/>
          <w:szCs w:val="32"/>
        </w:rPr>
        <w:t>主要职能</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Theme="minorEastAsia" w:hAnsiTheme="minorEastAsia"/>
          <w:sz w:val="32"/>
          <w:szCs w:val="32"/>
        </w:rPr>
      </w:pPr>
      <w:r>
        <w:rPr>
          <w:rFonts w:hint="eastAsia" w:asciiTheme="minorEastAsia" w:hAnsiTheme="minorEastAsia"/>
          <w:bCs/>
          <w:kern w:val="0"/>
          <w:sz w:val="32"/>
          <w:szCs w:val="32"/>
        </w:rPr>
        <w:t>负责全市工业经济的日常运行调节，编制并组织实施近期工业经济运行调控目标、政策和措施；监测分析近期工业经济运行态势，统计并发布相关信息，进行预测预警和信息引导，协调解决经济运行中的突出矛盾和问题并提出政策建议。拟订全市新型工业化的发展战略、规划和相关政策措施并组织实施，协调解决有关重大问题；综合管理全市工业经济，指导、协调和服务工业企业；推进信息化和工业化融合；推进全市国民经济和社会信息化；承担全市国防科技工业的综合协调、军民融合推进工作。</w:t>
      </w:r>
    </w:p>
    <w:p>
      <w:pPr>
        <w:keepNext w:val="0"/>
        <w:keepLines w:val="0"/>
        <w:pageBreakBefore w:val="0"/>
        <w:kinsoku/>
        <w:wordWrap/>
        <w:overflowPunct/>
        <w:topLinePunct w:val="0"/>
        <w:bidi w:val="0"/>
        <w:adjustRightInd/>
        <w:snapToGrid/>
        <w:spacing w:line="560" w:lineRule="exact"/>
        <w:ind w:firstLine="640" w:firstLineChars="200"/>
        <w:jc w:val="left"/>
        <w:textAlignment w:val="auto"/>
        <w:rPr>
          <w:rFonts w:asciiTheme="minorEastAsia" w:hAnsiTheme="minorEastAsia"/>
          <w:b/>
          <w:bCs/>
          <w:kern w:val="0"/>
          <w:sz w:val="32"/>
          <w:szCs w:val="32"/>
        </w:rPr>
      </w:pPr>
      <w:r>
        <w:rPr>
          <w:rFonts w:hint="eastAsia" w:asciiTheme="minorEastAsia" w:hAnsiTheme="minorEastAsia"/>
          <w:sz w:val="32"/>
          <w:szCs w:val="32"/>
        </w:rPr>
        <w:t>（二）</w:t>
      </w:r>
      <w:r>
        <w:rPr>
          <w:rFonts w:hint="eastAsia" w:asciiTheme="minorEastAsia" w:hAnsiTheme="minorEastAsia"/>
          <w:b/>
          <w:bCs/>
          <w:kern w:val="0"/>
          <w:sz w:val="32"/>
          <w:szCs w:val="32"/>
        </w:rPr>
        <w:t>人员情况</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市工信局</w:t>
      </w:r>
      <w:r>
        <w:rPr>
          <w:rFonts w:hint="eastAsia" w:asciiTheme="minorEastAsia" w:hAnsiTheme="minorEastAsia"/>
          <w:bCs/>
          <w:kern w:val="0"/>
          <w:sz w:val="32"/>
          <w:szCs w:val="32"/>
          <w:lang w:val="en-US" w:eastAsia="zh-CN"/>
        </w:rPr>
        <w:t>全额拨款</w:t>
      </w:r>
      <w:r>
        <w:rPr>
          <w:rFonts w:hint="eastAsia" w:asciiTheme="minorEastAsia" w:hAnsiTheme="minorEastAsia"/>
          <w:bCs/>
          <w:kern w:val="0"/>
          <w:sz w:val="32"/>
          <w:szCs w:val="32"/>
        </w:rPr>
        <w:t>编制合计为57个，其中：行政编制为38个，工勤编制1个，全额拨款事业单位编制18个（市民营经济发展服务中心）。</w:t>
      </w:r>
      <w:r>
        <w:rPr>
          <w:rFonts w:hint="eastAsia" w:asciiTheme="minorEastAsia" w:hAnsiTheme="minorEastAsia"/>
          <w:bCs/>
          <w:kern w:val="0"/>
          <w:sz w:val="32"/>
          <w:szCs w:val="32"/>
          <w:lang w:val="en-US" w:eastAsia="zh-CN"/>
        </w:rPr>
        <w:t>2021年末</w:t>
      </w:r>
      <w:r>
        <w:rPr>
          <w:rFonts w:hint="eastAsia" w:asciiTheme="minorEastAsia" w:hAnsiTheme="minorEastAsia"/>
          <w:bCs/>
          <w:kern w:val="0"/>
          <w:sz w:val="32"/>
          <w:szCs w:val="32"/>
        </w:rPr>
        <w:t>实有人数</w:t>
      </w:r>
      <w:r>
        <w:rPr>
          <w:rFonts w:hint="eastAsia" w:asciiTheme="minorEastAsia" w:hAnsiTheme="minorEastAsia"/>
          <w:bCs/>
          <w:kern w:val="0"/>
          <w:sz w:val="32"/>
          <w:szCs w:val="32"/>
          <w:lang w:val="en-US" w:eastAsia="zh-CN"/>
        </w:rPr>
        <w:t>56名</w:t>
      </w:r>
      <w:r>
        <w:rPr>
          <w:rFonts w:hint="eastAsia" w:asciiTheme="minorEastAsia" w:hAnsiTheme="minorEastAsia"/>
          <w:bCs/>
          <w:kern w:val="0"/>
          <w:sz w:val="32"/>
          <w:szCs w:val="32"/>
        </w:rPr>
        <w:t>（不含4名临聘人员），其中：局机关在职人数</w:t>
      </w:r>
      <w:r>
        <w:rPr>
          <w:rFonts w:hint="eastAsia" w:asciiTheme="minorEastAsia" w:hAnsiTheme="minorEastAsia"/>
          <w:bCs/>
          <w:kern w:val="0"/>
          <w:sz w:val="32"/>
          <w:szCs w:val="32"/>
          <w:lang w:val="en-US" w:eastAsia="zh-CN"/>
        </w:rPr>
        <w:t>36</w:t>
      </w:r>
      <w:r>
        <w:rPr>
          <w:rFonts w:hint="eastAsia" w:asciiTheme="minorEastAsia" w:hAnsiTheme="minorEastAsia"/>
          <w:bCs/>
          <w:kern w:val="0"/>
          <w:sz w:val="32"/>
          <w:szCs w:val="32"/>
        </w:rPr>
        <w:t>名，工勤人员1名</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事业编制在职人员</w:t>
      </w:r>
      <w:r>
        <w:rPr>
          <w:rFonts w:hint="eastAsia" w:asciiTheme="minorEastAsia" w:hAnsiTheme="minorEastAsia"/>
          <w:bCs/>
          <w:kern w:val="0"/>
          <w:sz w:val="32"/>
          <w:szCs w:val="32"/>
          <w:lang w:val="en-US" w:eastAsia="zh-CN"/>
        </w:rPr>
        <w:t>19名</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含参公管理人员，含自收自支人员</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离退休人员</w:t>
      </w:r>
      <w:r>
        <w:rPr>
          <w:rFonts w:hint="eastAsia" w:asciiTheme="minorEastAsia" w:hAnsiTheme="minorEastAsia"/>
          <w:bCs/>
          <w:kern w:val="0"/>
          <w:sz w:val="32"/>
          <w:szCs w:val="32"/>
          <w:lang w:val="en-US" w:eastAsia="zh-CN"/>
        </w:rPr>
        <w:t>32</w:t>
      </w:r>
      <w:r>
        <w:rPr>
          <w:rFonts w:hint="eastAsia" w:asciiTheme="minorEastAsia" w:hAnsiTheme="minorEastAsia"/>
          <w:bCs/>
          <w:kern w:val="0"/>
          <w:sz w:val="32"/>
          <w:szCs w:val="32"/>
        </w:rPr>
        <w:t>名。</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13"/>
        <w:keepNext w:val="0"/>
        <w:keepLines w:val="0"/>
        <w:pageBreakBefore w:val="0"/>
        <w:kinsoku/>
        <w:wordWrap/>
        <w:overflowPunct/>
        <w:topLinePunct w:val="0"/>
        <w:autoSpaceDE w:val="0"/>
        <w:autoSpaceDN w:val="0"/>
        <w:bidi w:val="0"/>
        <w:adjustRightInd/>
        <w:snapToGrid/>
        <w:spacing w:line="560" w:lineRule="exact"/>
        <w:ind w:firstLine="640"/>
        <w:textAlignment w:val="auto"/>
        <w:rPr>
          <w:rFonts w:asciiTheme="minorEastAsia" w:hAnsiTheme="minorEastAsia"/>
          <w:bCs/>
          <w:kern w:val="0"/>
          <w:sz w:val="32"/>
          <w:szCs w:val="32"/>
        </w:rPr>
      </w:pPr>
      <w:r>
        <w:rPr>
          <w:rFonts w:hint="eastAsia" w:asciiTheme="minorEastAsia" w:hAnsiTheme="minorEastAsia"/>
          <w:b/>
          <w:bCs w:val="0"/>
          <w:kern w:val="0"/>
          <w:sz w:val="32"/>
          <w:szCs w:val="32"/>
        </w:rPr>
        <w:t>（一）内设机构设置。</w:t>
      </w:r>
      <w:r>
        <w:rPr>
          <w:rFonts w:hint="eastAsia" w:asciiTheme="minorEastAsia" w:hAnsiTheme="minorEastAsia"/>
          <w:bCs/>
          <w:kern w:val="0"/>
          <w:sz w:val="32"/>
          <w:szCs w:val="32"/>
          <w:lang w:eastAsia="zh-CN"/>
        </w:rPr>
        <w:t>永州市工业和信息化局</w:t>
      </w:r>
      <w:r>
        <w:rPr>
          <w:rFonts w:hint="eastAsia" w:asciiTheme="minorEastAsia" w:hAnsiTheme="minorEastAsia"/>
          <w:bCs/>
          <w:kern w:val="0"/>
          <w:sz w:val="32"/>
          <w:szCs w:val="32"/>
        </w:rPr>
        <w:t>为正处级单位</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单位内设机构包括：办公室、综合法规科、人事科、电子信息产业科、信息化推进科、经济运行监测科、永州市工业技术改造办公室、工业园区管理科、消费品工业科、装备工业科、科技和人工智能科、节能与综合利用科、军民融合产业科、中小企业和非公经济管理服务科、能源运行科、产业政策和合作交流科、墙体材料改革与散装水泥管理服务科、市委军民融合发展委员会办公室秘书科等18个科室，另设机关党委。归口管理市工业企业改制服务办公室、市无线电管理处、市民营经济发展服务中心</w:t>
      </w:r>
      <w:r>
        <w:rPr>
          <w:rFonts w:hint="eastAsia" w:asciiTheme="minorEastAsia" w:hAnsiTheme="minorEastAsia"/>
          <w:bCs/>
          <w:kern w:val="0"/>
          <w:sz w:val="32"/>
          <w:szCs w:val="32"/>
          <w:lang w:eastAsia="zh-CN"/>
        </w:rPr>
        <w:t>（含原</w:t>
      </w:r>
      <w:r>
        <w:rPr>
          <w:rFonts w:hint="eastAsia" w:asciiTheme="minorEastAsia" w:hAnsiTheme="minorEastAsia"/>
          <w:bCs/>
          <w:kern w:val="0"/>
          <w:sz w:val="32"/>
          <w:szCs w:val="32"/>
        </w:rPr>
        <w:t>市煤炭物资供应站）等单位。</w:t>
      </w:r>
    </w:p>
    <w:p>
      <w:pPr>
        <w:keepNext w:val="0"/>
        <w:keepLines w:val="0"/>
        <w:pageBreakBefore w:val="0"/>
        <w:widowControl/>
        <w:kinsoku/>
        <w:wordWrap/>
        <w:overflowPunct/>
        <w:topLinePunct w:val="0"/>
        <w:bidi w:val="0"/>
        <w:adjustRightInd/>
        <w:snapToGrid/>
        <w:spacing w:line="560" w:lineRule="exact"/>
        <w:ind w:firstLine="643" w:firstLineChars="200"/>
        <w:textAlignment w:val="auto"/>
        <w:rPr>
          <w:sz w:val="72"/>
          <w:szCs w:val="72"/>
        </w:rPr>
      </w:pPr>
      <w:r>
        <w:rPr>
          <w:rFonts w:hint="eastAsia" w:asciiTheme="minorEastAsia" w:hAnsiTheme="minorEastAsia"/>
          <w:b/>
          <w:bCs w:val="0"/>
          <w:kern w:val="0"/>
          <w:sz w:val="32"/>
          <w:szCs w:val="32"/>
        </w:rPr>
        <w:t>（二）决算单位构成。</w:t>
      </w:r>
      <w:r>
        <w:rPr>
          <w:rFonts w:hint="eastAsia" w:asciiTheme="minorEastAsia" w:hAnsiTheme="minorEastAsia"/>
          <w:bCs/>
          <w:kern w:val="0"/>
          <w:sz w:val="32"/>
          <w:szCs w:val="32"/>
        </w:rPr>
        <w:t>市工信局</w:t>
      </w:r>
      <w:r>
        <w:rPr>
          <w:rFonts w:hint="eastAsia" w:asciiTheme="minorEastAsia" w:hAnsiTheme="minorEastAsia"/>
          <w:bCs/>
          <w:kern w:val="0"/>
          <w:sz w:val="32"/>
          <w:szCs w:val="32"/>
          <w:lang w:val="en-US" w:eastAsia="zh-CN"/>
        </w:rPr>
        <w:t>2021</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永州市工业和信息化</w:t>
      </w:r>
      <w:r>
        <w:rPr>
          <w:rFonts w:hint="eastAsia" w:asciiTheme="minorEastAsia" w:hAnsiTheme="minorEastAsia"/>
          <w:bCs/>
          <w:kern w:val="0"/>
          <w:sz w:val="32"/>
          <w:szCs w:val="32"/>
        </w:rPr>
        <w:t>局单位本级以及归口管理的市民营经济发展服务中心</w:t>
      </w:r>
      <w:r>
        <w:rPr>
          <w:rFonts w:hint="eastAsia" w:asciiTheme="minorEastAsia" w:hAnsiTheme="minorEastAsia"/>
          <w:bCs/>
          <w:kern w:val="0"/>
          <w:sz w:val="32"/>
          <w:szCs w:val="32"/>
          <w:lang w:eastAsia="zh-CN"/>
        </w:rPr>
        <w:t>（含原煤炭物</w:t>
      </w:r>
      <w:r>
        <w:rPr>
          <w:rFonts w:hint="eastAsia" w:asciiTheme="minorEastAsia" w:hAnsiTheme="minorEastAsia"/>
          <w:bCs/>
          <w:kern w:val="0"/>
          <w:sz w:val="32"/>
          <w:szCs w:val="32"/>
          <w:lang w:val="en-US" w:eastAsia="zh-CN"/>
        </w:rPr>
        <w:t>资</w:t>
      </w:r>
      <w:r>
        <w:rPr>
          <w:rFonts w:hint="eastAsia" w:asciiTheme="minorEastAsia" w:hAnsiTheme="minorEastAsia"/>
          <w:bCs/>
          <w:kern w:val="0"/>
          <w:sz w:val="32"/>
          <w:szCs w:val="32"/>
          <w:lang w:eastAsia="zh-CN"/>
        </w:rPr>
        <w:t>供应站）</w:t>
      </w:r>
      <w:r>
        <w:rPr>
          <w:rFonts w:hint="eastAsia" w:asciiTheme="minorEastAsia" w:hAnsiTheme="minorEastAsia"/>
          <w:bCs/>
          <w:kern w:val="0"/>
          <w:sz w:val="32"/>
          <w:szCs w:val="32"/>
        </w:rPr>
        <w:t>。</w:t>
      </w: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p>
    <w:p>
      <w:pPr>
        <w:pStyle w:val="12"/>
        <w:jc w:val="center"/>
        <w:rPr>
          <w:rFonts w:hint="eastAsia"/>
          <w:sz w:val="84"/>
          <w:szCs w:val="84"/>
          <w:lang w:val="en-US" w:eastAsia="zh-CN"/>
        </w:rPr>
      </w:pPr>
    </w:p>
    <w:p>
      <w:pPr>
        <w:pStyle w:val="12"/>
        <w:jc w:val="center"/>
        <w:rPr>
          <w:rFonts w:hint="eastAsia"/>
          <w:sz w:val="84"/>
          <w:szCs w:val="84"/>
          <w:lang w:val="en-US" w:eastAsia="zh-CN"/>
        </w:rPr>
      </w:pPr>
    </w:p>
    <w:p>
      <w:pPr>
        <w:pStyle w:val="12"/>
        <w:jc w:val="center"/>
        <w:rPr>
          <w:rFonts w:hint="eastAsia"/>
          <w:sz w:val="84"/>
          <w:szCs w:val="84"/>
          <w:lang w:val="en-US" w:eastAsia="zh-CN"/>
        </w:rPr>
      </w:pPr>
      <w:r>
        <w:rPr>
          <w:rFonts w:hint="eastAsia"/>
          <w:sz w:val="84"/>
          <w:szCs w:val="84"/>
          <w:lang w:val="en-US" w:eastAsia="zh-CN"/>
        </w:rPr>
        <w:t>第二部分</w:t>
      </w:r>
    </w:p>
    <w:p>
      <w:pPr>
        <w:pStyle w:val="12"/>
        <w:jc w:val="center"/>
        <w:rPr>
          <w:rFonts w:hint="eastAsia"/>
          <w:sz w:val="84"/>
          <w:szCs w:val="84"/>
          <w:lang w:val="en-US" w:eastAsia="zh-CN"/>
        </w:rPr>
      </w:pPr>
    </w:p>
    <w:p>
      <w:pPr>
        <w:pStyle w:val="12"/>
        <w:jc w:val="center"/>
        <w:rPr>
          <w:rFonts w:hint="default"/>
          <w:sz w:val="84"/>
          <w:szCs w:val="84"/>
          <w:lang w:val="en-US" w:eastAsia="zh-CN"/>
        </w:rPr>
      </w:pPr>
      <w:r>
        <w:rPr>
          <w:rFonts w:hint="eastAsia"/>
          <w:sz w:val="84"/>
          <w:szCs w:val="84"/>
          <w:lang w:val="en-US" w:eastAsia="zh-CN"/>
        </w:rPr>
        <w:t>永州市工业和信息化局</w:t>
      </w:r>
    </w:p>
    <w:p>
      <w:pPr>
        <w:pStyle w:val="12"/>
        <w:jc w:val="center"/>
        <w:rPr>
          <w:rFonts w:hint="eastAsia"/>
          <w:sz w:val="84"/>
          <w:szCs w:val="84"/>
          <w:lang w:val="en-US" w:eastAsia="zh-CN"/>
        </w:rPr>
      </w:pPr>
      <w:r>
        <w:rPr>
          <w:rFonts w:hint="eastAsia"/>
          <w:sz w:val="84"/>
          <w:szCs w:val="84"/>
          <w:lang w:val="en-US" w:eastAsia="zh-CN"/>
        </w:rPr>
        <w:t>2021年度部门决算表</w:t>
      </w:r>
    </w:p>
    <w:p>
      <w:pPr>
        <w:jc w:val="center"/>
        <w:rPr>
          <w:sz w:val="72"/>
          <w:szCs w:val="72"/>
        </w:rPr>
      </w:pPr>
    </w:p>
    <w:p>
      <w:pPr>
        <w:jc w:val="center"/>
        <w:rPr>
          <w:rFonts w:asciiTheme="minorEastAsia" w:hAnsiTheme="minorEastAsia"/>
          <w:sz w:val="32"/>
          <w:szCs w:val="32"/>
        </w:rPr>
        <w:sectPr>
          <w:pgSz w:w="11906" w:h="16838"/>
          <w:pgMar w:top="1701" w:right="1417" w:bottom="1417" w:left="1701" w:header="851" w:footer="992" w:gutter="0"/>
          <w:cols w:space="425" w:num="1"/>
          <w:docGrid w:type="lines" w:linePitch="312" w:charSpace="0"/>
        </w:sectPr>
      </w:pPr>
      <w:r>
        <w:rPr>
          <w:rFonts w:hint="eastAsia"/>
          <w:sz w:val="32"/>
          <w:szCs w:val="32"/>
          <w:lang w:eastAsia="zh-CN"/>
        </w:rPr>
        <w:t>（</w:t>
      </w:r>
      <w:r>
        <w:rPr>
          <w:rFonts w:hint="eastAsia"/>
          <w:sz w:val="32"/>
          <w:szCs w:val="32"/>
          <w:lang w:val="en-US" w:eastAsia="zh-CN"/>
        </w:rPr>
        <w:t>详情</w:t>
      </w:r>
      <w:r>
        <w:rPr>
          <w:rFonts w:hint="eastAsia"/>
          <w:sz w:val="32"/>
          <w:szCs w:val="32"/>
          <w:lang w:eastAsia="zh-CN"/>
        </w:rPr>
        <w:t>见附件</w:t>
      </w:r>
      <w:r>
        <w:rPr>
          <w:rFonts w:hint="eastAsia"/>
          <w:sz w:val="32"/>
          <w:szCs w:val="32"/>
          <w:lang w:val="en-US" w:eastAsia="zh-CN"/>
        </w:rPr>
        <w:t>）</w:t>
      </w:r>
    </w:p>
    <w:p>
      <w:pPr>
        <w:pStyle w:val="12"/>
        <w:jc w:val="both"/>
        <w:rPr>
          <w:rFonts w:hint="eastAsia"/>
          <w:sz w:val="84"/>
          <w:szCs w:val="84"/>
          <w:lang w:val="en-US" w:eastAsia="zh-CN"/>
        </w:rPr>
      </w:pPr>
    </w:p>
    <w:p>
      <w:pPr>
        <w:pStyle w:val="12"/>
        <w:jc w:val="center"/>
        <w:rPr>
          <w:rFonts w:hint="eastAsia"/>
          <w:sz w:val="84"/>
          <w:szCs w:val="84"/>
          <w:lang w:val="en-US" w:eastAsia="zh-CN"/>
        </w:rPr>
      </w:pPr>
    </w:p>
    <w:p>
      <w:pPr>
        <w:pStyle w:val="12"/>
        <w:jc w:val="center"/>
        <w:rPr>
          <w:rFonts w:hint="eastAsia"/>
          <w:sz w:val="84"/>
          <w:szCs w:val="84"/>
          <w:lang w:val="en-US" w:eastAsia="zh-CN"/>
        </w:rPr>
      </w:pPr>
      <w:r>
        <w:rPr>
          <w:rFonts w:hint="eastAsia"/>
          <w:sz w:val="84"/>
          <w:szCs w:val="84"/>
          <w:lang w:val="en-US" w:eastAsia="zh-CN"/>
        </w:rPr>
        <w:t>第三部分</w:t>
      </w:r>
    </w:p>
    <w:p>
      <w:pPr>
        <w:pStyle w:val="12"/>
        <w:jc w:val="center"/>
        <w:rPr>
          <w:rFonts w:hint="eastAsia"/>
          <w:sz w:val="84"/>
          <w:szCs w:val="84"/>
          <w:lang w:val="en-US" w:eastAsia="zh-CN"/>
        </w:rPr>
      </w:pPr>
    </w:p>
    <w:p>
      <w:pPr>
        <w:pStyle w:val="12"/>
        <w:jc w:val="center"/>
        <w:rPr>
          <w:rFonts w:hint="default"/>
          <w:sz w:val="84"/>
          <w:szCs w:val="84"/>
          <w:lang w:val="en-US" w:eastAsia="zh-CN"/>
        </w:rPr>
      </w:pPr>
      <w:r>
        <w:rPr>
          <w:rFonts w:hint="eastAsia"/>
          <w:sz w:val="84"/>
          <w:szCs w:val="84"/>
          <w:lang w:val="en-US" w:eastAsia="zh-CN"/>
        </w:rPr>
        <w:t>永州市工业和信息化局</w:t>
      </w:r>
    </w:p>
    <w:p>
      <w:pPr>
        <w:pStyle w:val="12"/>
        <w:jc w:val="center"/>
        <w:rPr>
          <w:rFonts w:hint="eastAsia"/>
          <w:sz w:val="84"/>
          <w:szCs w:val="84"/>
          <w:lang w:val="en-US" w:eastAsia="zh-CN"/>
        </w:rPr>
      </w:pPr>
      <w:r>
        <w:rPr>
          <w:rFonts w:hint="eastAsia"/>
          <w:sz w:val="84"/>
          <w:szCs w:val="84"/>
          <w:lang w:val="en-US" w:eastAsia="zh-CN"/>
        </w:rPr>
        <w:t>2021年度部门决算情况说明</w:t>
      </w:r>
    </w:p>
    <w:p>
      <w:pPr>
        <w:pStyle w:val="12"/>
        <w:jc w:val="center"/>
        <w:rPr>
          <w:rFonts w:hint="eastAsia"/>
          <w:sz w:val="84"/>
          <w:szCs w:val="84"/>
          <w:lang w:val="en-US" w:eastAsia="zh-CN"/>
        </w:rPr>
      </w:pPr>
      <w:r>
        <w:rPr>
          <w:rFonts w:hint="eastAsia"/>
          <w:sz w:val="84"/>
          <w:szCs w:val="84"/>
          <w:lang w:val="en-US" w:eastAsia="zh-CN"/>
        </w:rPr>
        <w:br w:type="page"/>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Ansi="黑体"/>
          <w:b w:val="0"/>
          <w:bCs/>
          <w:sz w:val="32"/>
          <w:szCs w:val="32"/>
        </w:rPr>
      </w:pPr>
      <w:r>
        <w:rPr>
          <w:rFonts w:hint="eastAsia" w:hAnsi="黑体"/>
          <w:b w:val="0"/>
          <w:bCs/>
          <w:sz w:val="32"/>
          <w:szCs w:val="32"/>
        </w:rPr>
        <w:t>一、收入支出决算总体情况说明</w:t>
      </w:r>
    </w:p>
    <w:p>
      <w:pPr>
        <w:pStyle w:val="12"/>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年度收</w:t>
      </w:r>
      <w:r>
        <w:rPr>
          <w:rFonts w:hint="eastAsia" w:asciiTheme="minorEastAsia" w:hAnsiTheme="minorEastAsia" w:eastAsiaTheme="minorEastAsia"/>
          <w:sz w:val="32"/>
          <w:szCs w:val="32"/>
          <w:lang w:val="en-US" w:eastAsia="zh-CN"/>
        </w:rPr>
        <w:t>入总计1291.8万元，与上年5296.02万元相比，增加-4004.22万元，增长-75.61%，主要原因是:2020年新冠肺炎疫情爆发，我局承担新冠疫情防控物资保障工作，2020年下达应急物资储备经费4086.21万元（中央直达资金）、新冠肺炎疫情防控预备经费100万元、支援湖北英山防疫经费56.51万元等经费，2021年疫情常态化环境下收入较上年减少较多</w:t>
      </w:r>
      <w:r>
        <w:rPr>
          <w:rFonts w:hint="eastAsia" w:asciiTheme="minorEastAsia" w:hAnsiTheme="minorEastAsia" w:eastAsiaTheme="minorEastAsia"/>
          <w:sz w:val="32"/>
          <w:szCs w:val="32"/>
        </w:rPr>
        <w:t>。</w:t>
      </w:r>
    </w:p>
    <w:p>
      <w:pPr>
        <w:pStyle w:val="12"/>
        <w:keepNext w:val="0"/>
        <w:keepLines w:val="0"/>
        <w:pageBreakBefore w:val="0"/>
        <w:kinsoku/>
        <w:wordWrap/>
        <w:overflowPunct/>
        <w:topLinePunct w:val="0"/>
        <w:bidi w:val="0"/>
        <w:adjustRightInd/>
        <w:snapToGrid/>
        <w:spacing w:line="560" w:lineRule="exact"/>
        <w:ind w:firstLine="640" w:firstLineChars="200"/>
        <w:jc w:val="both"/>
        <w:textAlignment w:val="auto"/>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lang w:val="en-US" w:eastAsia="zh-CN"/>
        </w:rPr>
        <w:t>2021年度支出总计3720.98万元，</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2854.45万元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869.53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31.49</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val="en-US" w:eastAsia="zh-CN"/>
        </w:rPr>
        <w:t>原因是：2020年度下达的应急物资储备经费（中央直达资金）结转2361.63万元在2021年列支，主要用于支付承储企业公共应急物资采购资金、快速核酸检测分析仪采购资金等。</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二、收入决算情况说明</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1291.8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1291.8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三、支出决算情况说明</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3720.98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903.94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2817.04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75.7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四、财政拨款收入支出决算总体情况说明</w:t>
      </w:r>
    </w:p>
    <w:p>
      <w:pPr>
        <w:pStyle w:val="12"/>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年度财政拨款收</w:t>
      </w:r>
      <w:r>
        <w:rPr>
          <w:rFonts w:hint="eastAsia" w:asciiTheme="minorEastAsia" w:hAnsiTheme="minorEastAsia" w:eastAsiaTheme="minorEastAsia"/>
          <w:sz w:val="32"/>
          <w:szCs w:val="32"/>
          <w:lang w:val="en-US" w:eastAsia="zh-CN"/>
        </w:rPr>
        <w:t>入总计1291.8万元，与上年5296.02万元相比，增加-4004.22万元，增长-75.61%，主要原因是:2020年新冠肺炎疫情爆发，我局承担新冠疫情防控物资保障工作，2020年下达应急物资储备经费4086.21万元（中央直达资金）、新冠肺炎疫情防控预备经费100万元、支援湖北英山防疫经费56.51万元等经费，2020年收入较往年增幅较大；2021年疫情常态化环境下，收入较上年减少</w:t>
      </w:r>
      <w:r>
        <w:rPr>
          <w:rFonts w:hint="eastAsia" w:asciiTheme="minorEastAsia" w:hAnsiTheme="minorEastAsia" w:eastAsiaTheme="minorEastAsia"/>
          <w:sz w:val="32"/>
          <w:szCs w:val="32"/>
        </w:rPr>
        <w:t>。</w:t>
      </w:r>
    </w:p>
    <w:p>
      <w:pPr>
        <w:pStyle w:val="12"/>
        <w:keepNext w:val="0"/>
        <w:keepLines w:val="0"/>
        <w:pageBreakBefore w:val="0"/>
        <w:kinsoku/>
        <w:wordWrap/>
        <w:overflowPunct/>
        <w:topLinePunct w:val="0"/>
        <w:bidi w:val="0"/>
        <w:adjustRightInd/>
        <w:snapToGrid/>
        <w:spacing w:line="560" w:lineRule="exact"/>
        <w:ind w:firstLine="640" w:firstLineChars="200"/>
        <w:jc w:val="both"/>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w:t>
      </w:r>
      <w:r>
        <w:rPr>
          <w:rFonts w:hint="eastAsia" w:asciiTheme="minorEastAsia" w:hAnsiTheme="minorEastAsia" w:eastAsiaTheme="minorEastAsia"/>
          <w:sz w:val="32"/>
          <w:szCs w:val="32"/>
          <w:lang w:val="en-US" w:eastAsia="zh-CN"/>
        </w:rPr>
        <w:t>支出总计3720.98万元，</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2854.45万元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869.53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31.49</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val="en-US" w:eastAsia="zh-CN"/>
        </w:rPr>
        <w:t>原因是：2020年度下达的应急物资储备经费（中央直达资金）结转2361.63万元在2021年列支，主要用于支付承储企业公共应急物资采购资金、快速核酸检测分析仪采购资金等。</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五、一般公共预算财政拨款支出决算情况说明</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keepNext w:val="0"/>
        <w:keepLines w:val="0"/>
        <w:pageBreakBefore w:val="0"/>
        <w:kinsoku/>
        <w:wordWrap/>
        <w:overflowPunct/>
        <w:topLinePunct w:val="0"/>
        <w:bidi w:val="0"/>
        <w:adjustRightInd/>
        <w:snapToGrid/>
        <w:spacing w:line="560" w:lineRule="exact"/>
        <w:ind w:firstLine="640" w:firstLineChars="200"/>
        <w:jc w:val="both"/>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3720.98万元，</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2854.45万元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869.53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31.49</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val="en-US" w:eastAsia="zh-CN"/>
        </w:rPr>
        <w:t>原因是：2020年度下达的应急物资储备经费（中央直达资金）结转2361.63万元在2021年列支，主要用于支付承储企业公共应急物资采购资金、快速核酸检测分析仪采购资金等。</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3720.98</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7.81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0.21</w:t>
      </w:r>
      <w:r>
        <w:rPr>
          <w:rFonts w:hint="eastAsia" w:asciiTheme="minorEastAsia" w:hAnsiTheme="minorEastAsia" w:eastAsiaTheme="minorEastAsia"/>
          <w:sz w:val="32"/>
          <w:szCs w:val="32"/>
        </w:rPr>
        <w:t>%；科学技术（类）支出</w:t>
      </w:r>
      <w:r>
        <w:rPr>
          <w:rFonts w:hint="eastAsia" w:asciiTheme="minorEastAsia" w:hAnsiTheme="minorEastAsia" w:eastAsiaTheme="minorEastAsia"/>
          <w:sz w:val="32"/>
          <w:szCs w:val="32"/>
          <w:lang w:val="en-US" w:eastAsia="zh-CN"/>
        </w:rPr>
        <w:t>25.39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0.68</w:t>
      </w:r>
      <w:r>
        <w:rPr>
          <w:rFonts w:hint="eastAsia" w:asciiTheme="minorEastAsia" w:hAnsiTheme="minorEastAsia" w:eastAsiaTheme="minorEastAsia"/>
          <w:sz w:val="32"/>
          <w:szCs w:val="32"/>
        </w:rPr>
        <w:t>%;社会保障和就业</w:t>
      </w:r>
      <w:r>
        <w:rPr>
          <w:rFonts w:hint="eastAsia" w:asciiTheme="minorEastAsia" w:hAnsiTheme="minorEastAsia" w:eastAsiaTheme="minorEastAsia"/>
          <w:sz w:val="32"/>
          <w:szCs w:val="32"/>
          <w:lang w:eastAsia="zh-CN"/>
        </w:rPr>
        <w:t>（类）支出</w:t>
      </w:r>
      <w:r>
        <w:rPr>
          <w:rFonts w:hint="eastAsia" w:asciiTheme="minorEastAsia" w:hAnsiTheme="minorEastAsia" w:eastAsiaTheme="minorEastAsia"/>
          <w:sz w:val="32"/>
          <w:szCs w:val="32"/>
          <w:lang w:val="en-US" w:eastAsia="zh-CN"/>
        </w:rPr>
        <w:t>113.15万元，占3.04%；卫生健康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43.68万元，占1.17%；资源勘探工业信息等</w:t>
      </w:r>
      <w:r>
        <w:rPr>
          <w:rFonts w:hint="eastAsia" w:asciiTheme="minorEastAsia" w:hAnsiTheme="minorEastAsia" w:eastAsiaTheme="minorEastAsia"/>
          <w:sz w:val="32"/>
          <w:szCs w:val="32"/>
          <w:lang w:eastAsia="zh-CN"/>
        </w:rPr>
        <w:t>（类）支出</w:t>
      </w:r>
      <w:r>
        <w:rPr>
          <w:rFonts w:hint="eastAsia" w:asciiTheme="minorEastAsia" w:hAnsiTheme="minorEastAsia" w:eastAsiaTheme="minorEastAsia"/>
          <w:sz w:val="32"/>
          <w:szCs w:val="32"/>
          <w:lang w:val="en-US" w:eastAsia="zh-CN"/>
        </w:rPr>
        <w:t>1121.79万元，占30.15%；灾害防治及应急管理</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2361.63万元，占63.47%；其他</w:t>
      </w:r>
      <w:r>
        <w:rPr>
          <w:rFonts w:hint="eastAsia" w:asciiTheme="minorEastAsia" w:hAnsiTheme="minorEastAsia" w:eastAsiaTheme="minorEastAsia"/>
          <w:sz w:val="32"/>
          <w:szCs w:val="32"/>
          <w:lang w:eastAsia="zh-CN"/>
        </w:rPr>
        <w:t>（类）支出</w:t>
      </w:r>
      <w:r>
        <w:rPr>
          <w:rFonts w:hint="eastAsia" w:asciiTheme="minorEastAsia" w:hAnsiTheme="minorEastAsia" w:eastAsiaTheme="minorEastAsia"/>
          <w:sz w:val="32"/>
          <w:szCs w:val="32"/>
          <w:lang w:val="en-US" w:eastAsia="zh-CN"/>
        </w:rPr>
        <w:t>47.51万元，占1.28%。</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798.6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3720.98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465.93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预计决算有所差异主要原因是：上年结转和结余资金、预算执行追加上级奖励资金、社保及医保缴费、其他不可预见性支出未纳入年初预算。</w:t>
      </w:r>
      <w:r>
        <w:rPr>
          <w:rFonts w:hint="eastAsia" w:asciiTheme="minorEastAsia" w:hAnsiTheme="minorEastAsia" w:eastAsiaTheme="minorEastAsia"/>
          <w:sz w:val="32"/>
          <w:szCs w:val="32"/>
        </w:rPr>
        <w:t>其中：</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rPr>
        <w:t>1</w:t>
      </w:r>
      <w:r>
        <w:rPr>
          <w:rFonts w:hint="eastAsia" w:asciiTheme="minorEastAsia" w:hAnsiTheme="minorEastAsia" w:eastAsiaTheme="minorEastAsia"/>
          <w:b/>
          <w:bCs/>
          <w:sz w:val="32"/>
          <w:szCs w:val="32"/>
          <w:lang w:val="en-US" w:eastAsia="zh-CN"/>
        </w:rPr>
        <w:t>.</w:t>
      </w:r>
      <w:r>
        <w:rPr>
          <w:rFonts w:hint="eastAsia" w:asciiTheme="minorEastAsia" w:hAnsiTheme="minorEastAsia" w:eastAsiaTheme="minorEastAsia"/>
          <w:b/>
          <w:bCs/>
          <w:sz w:val="32"/>
          <w:szCs w:val="32"/>
        </w:rPr>
        <w:t>一般公共服务（类）</w:t>
      </w:r>
      <w:r>
        <w:rPr>
          <w:rFonts w:hint="eastAsia" w:asciiTheme="minorEastAsia" w:hAnsiTheme="minorEastAsia" w:eastAsiaTheme="minorEastAsia"/>
          <w:b/>
          <w:bCs/>
          <w:sz w:val="32"/>
          <w:szCs w:val="32"/>
          <w:lang w:val="en-US" w:eastAsia="zh-CN"/>
        </w:rPr>
        <w:t>党委办公厅（室）及相关机构事务</w:t>
      </w:r>
      <w:r>
        <w:rPr>
          <w:rFonts w:hint="eastAsia" w:asciiTheme="minorEastAsia" w:hAnsiTheme="minorEastAsia" w:eastAsiaTheme="minorEastAsia"/>
          <w:b/>
          <w:bCs/>
          <w:sz w:val="32"/>
          <w:szCs w:val="32"/>
        </w:rPr>
        <w:t>（款）</w:t>
      </w:r>
      <w:r>
        <w:rPr>
          <w:rFonts w:hint="eastAsia" w:asciiTheme="minorEastAsia" w:hAnsiTheme="minorEastAsia" w:eastAsiaTheme="minorEastAsia"/>
          <w:b/>
          <w:bCs/>
          <w:sz w:val="32"/>
          <w:szCs w:val="32"/>
          <w:lang w:val="en-US" w:eastAsia="zh-CN"/>
        </w:rPr>
        <w:t>其他党委办公厅（室）及相关机构事务支出</w:t>
      </w:r>
      <w:r>
        <w:rPr>
          <w:rFonts w:hint="eastAsia" w:asciiTheme="minorEastAsia" w:hAnsiTheme="minorEastAsia" w:eastAsiaTheme="minorEastAsia"/>
          <w:b/>
          <w:bCs/>
          <w:sz w:val="32"/>
          <w:szCs w:val="32"/>
        </w:rPr>
        <w:t>（项）。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7.81</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该经费为永州市第六次党代会会议疫情防控经费，系预算执行追加经费，未纳入年初预算。</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2.科学技术支出（类）技术研究与开发支出（款）其他技术研究与开发支出（项）。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22.4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该经费为上年</w:t>
      </w:r>
      <w:r>
        <w:rPr>
          <w:rFonts w:hint="eastAsia" w:asciiTheme="minorEastAsia" w:hAnsiTheme="minorEastAsia" w:eastAsiaTheme="minorEastAsia"/>
          <w:sz w:val="32"/>
          <w:szCs w:val="32"/>
        </w:rPr>
        <w:t>制造强省专项资金（真抓实干成效明显地区奖励和验收项目资金）</w:t>
      </w:r>
      <w:r>
        <w:rPr>
          <w:rFonts w:hint="eastAsia" w:asciiTheme="minorEastAsia" w:hAnsiTheme="minorEastAsia" w:eastAsiaTheme="minorEastAsia"/>
          <w:sz w:val="32"/>
          <w:szCs w:val="32"/>
          <w:lang w:val="en-US" w:eastAsia="zh-CN"/>
        </w:rPr>
        <w:t>结转和结余资金</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系预算执行追加上级考核奖励性项目经费，未纳入年初预算。</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3.科学技术支出（类）其他科学技术支出（款）其他科学技术支出（项）。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该经费为走访慰问优秀企业家资金，系预算执行追加经费，未纳入年初预算</w:t>
      </w:r>
    </w:p>
    <w:p>
      <w:pPr>
        <w:pStyle w:val="12"/>
        <w:keepNext w:val="0"/>
        <w:keepLines w:val="0"/>
        <w:pageBreakBefore w:val="0"/>
        <w:numPr>
          <w:ilvl w:val="0"/>
          <w:numId w:val="0"/>
        </w:numPr>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4.社会保障和就业支出（类）行政事业单位养老支出（款）机关事业单位基本养老保险缴费支出（项）。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69.14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养老保险实行按实际产生费用拨付指标的方式结算，年初未纳入预算。</w:t>
      </w:r>
    </w:p>
    <w:p>
      <w:pPr>
        <w:pStyle w:val="12"/>
        <w:keepNext w:val="0"/>
        <w:keepLines w:val="0"/>
        <w:pageBreakBefore w:val="0"/>
        <w:numPr>
          <w:ilvl w:val="0"/>
          <w:numId w:val="0"/>
        </w:numPr>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5.社会保障和就业支出（类）行政事业单位养老支出（款）机关事业单位职业年金缴费支出（项）。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16.25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职业年金实行按实际产生费用拨付指标的方式结算，年初未纳入预算。</w:t>
      </w:r>
    </w:p>
    <w:p>
      <w:pPr>
        <w:pStyle w:val="12"/>
        <w:keepNext w:val="0"/>
        <w:keepLines w:val="0"/>
        <w:pageBreakBefore w:val="0"/>
        <w:numPr>
          <w:ilvl w:val="0"/>
          <w:numId w:val="0"/>
        </w:numPr>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6.社会保障和就业支出（类）行政事业单位养老支出（款）其他行政事业单位养老支出（项）。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8.35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该经费为离退休人员生活补助，系预算执行追加经费，年初未纳入预算。</w:t>
      </w:r>
    </w:p>
    <w:p>
      <w:pPr>
        <w:pStyle w:val="12"/>
        <w:keepNext w:val="0"/>
        <w:keepLines w:val="0"/>
        <w:pageBreakBefore w:val="0"/>
        <w:numPr>
          <w:ilvl w:val="0"/>
          <w:numId w:val="0"/>
        </w:numPr>
        <w:kinsoku/>
        <w:wordWrap/>
        <w:overflowPunct/>
        <w:topLinePunct w:val="0"/>
        <w:bidi w:val="0"/>
        <w:adjustRightInd/>
        <w:snapToGrid/>
        <w:spacing w:line="560" w:lineRule="exact"/>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7.社会保障和就业支出（（类）抚恤（款）死亡抚恤（项）。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19.41</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该经费主要为离退休人员死亡抚恤金，属不可预见性支出，年初未纳入预算。</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8.卫生健康支出（类）行政事业单位医疗（款）行政单位医疗（项）。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39.4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医疗保险实行按实际产生费用拨付指标的方式结算，年初未纳入预算。</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9.卫生健康支出（类）行政事业单位医疗（款） 公务员医疗补助（项）。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4.29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该经费主要为公务员医疗补助，书不可预见性支出，年初未纳入预算。</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10.资源勘探工业信息等支出（类）制造业（款） 其他制造业支出（项）。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118.24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该经费为湖南省制造强省专项资金（奖励类项目），系预算执行追加上级考核奖励性项目经费，未纳入年初预算。</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11.资源勘探工业信息等支出（类）其他工业和信息产业监管（款） 其他制造业支出（项）。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143.00</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该经费为2020年绩效奖，系预算执行追加经费，未纳入年初预算。</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12.资源勘探工业信息等支出（类）其他资源勘探工业信息等支出（款） 其他资源勘探工业信息等支出（项）。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798.6</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860.55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我局2021年度通过人才引进公开招考，引进2名事业人员，人员经费支出增加。</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b/>
          <w:bCs/>
          <w:sz w:val="32"/>
          <w:szCs w:val="32"/>
          <w:lang w:val="en-US" w:eastAsia="zh-CN"/>
        </w:rPr>
        <w:t>13.灾害防治及应急管理支出（类）其他灾害防治及应急管理支出（款）其他灾害防治及应急管理支出（项）。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万元，决算支出为</w:t>
      </w:r>
      <w:r>
        <w:rPr>
          <w:rFonts w:hint="eastAsia" w:asciiTheme="minorEastAsia" w:hAnsiTheme="minorEastAsia" w:eastAsiaTheme="minorEastAsia"/>
          <w:sz w:val="32"/>
          <w:szCs w:val="32"/>
          <w:lang w:val="en-US" w:eastAsia="zh-CN"/>
        </w:rPr>
        <w:t>2361.63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该经费系2020年结转和结余经费，未纳入年初预算。</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六、一般公共预算财政拨款基本支出决算情况说明</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903.94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745.12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82.43</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绩效工资、机关事业单位基本养老保险缴费、职工基本医疗保险缴费、公务员医疗补助缴费等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158.81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17.56</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val="en-US" w:eastAsia="zh-CN"/>
        </w:rPr>
        <w:t>水费、邮电费、差旅费、维修（护）费、租赁费、培训费、公务接待费、劳务费、委托业务费、工会经费、公务用车运行维护费、其他交通费用、税金及附加费用、其他商品和服务支出等</w:t>
      </w:r>
      <w:r>
        <w:rPr>
          <w:rFonts w:hint="eastAsia" w:asciiTheme="minorEastAsia" w:hAnsiTheme="minorEastAsia" w:eastAsiaTheme="minorEastAsia"/>
          <w:sz w:val="32"/>
          <w:szCs w:val="32"/>
        </w:rPr>
        <w:t>。</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七、一般公共预算财政拨款三公经费支出决算情况说明</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71.5</w:t>
      </w:r>
      <w:r>
        <w:rPr>
          <w:rFonts w:hint="eastAsia" w:asciiTheme="minorEastAsia" w:hAnsiTheme="minorEastAsia" w:eastAsiaTheme="minorEastAsia"/>
          <w:sz w:val="32"/>
          <w:szCs w:val="32"/>
        </w:rPr>
        <w:t>%，其中：</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%，决算数小于</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val="en-US" w:eastAsia="zh-CN"/>
        </w:rPr>
        <w:t>未产生因公出国（境）费用</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71.5</w:t>
      </w:r>
      <w:r>
        <w:rPr>
          <w:rFonts w:hint="eastAsia" w:asciiTheme="minorEastAsia" w:hAnsiTheme="minorEastAsia" w:eastAsiaTheme="minorEastAsia"/>
          <w:sz w:val="32"/>
          <w:szCs w:val="32"/>
        </w:rPr>
        <w:t>%，决算数小于预算数的主要原因</w:t>
      </w:r>
      <w:r>
        <w:rPr>
          <w:rFonts w:hint="eastAsia" w:asciiTheme="minorEastAsia" w:hAnsiTheme="minorEastAsia" w:eastAsiaTheme="minorEastAsia"/>
          <w:sz w:val="32"/>
          <w:szCs w:val="32"/>
          <w:lang w:val="en-US" w:eastAsia="zh-CN"/>
        </w:rPr>
        <w:t>是我局厉行节约，严控“三公经费”支出；与上年相比，增加6.99万元，增长95.62%，增减变化的主要原因：一是根据市委市政府工作安排，自2021年起，全市园区管理职责划入我单位，公务活动量增加，相关支出相应增加；二是受新冠肺炎疫情影响，2020年上半年公务活动骤减，公务接待费支出较往年下降较多，不具可比性。与正常年份比较：2021年度公务接待费较2019年减少2.38万元，下降14.27%。</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w:t>
      </w:r>
      <w:bookmarkStart w:id="0" w:name="_GoBack"/>
      <w:bookmarkEnd w:id="0"/>
      <w:r>
        <w:rPr>
          <w:rFonts w:hint="eastAsia" w:asciiTheme="minorEastAsia" w:hAnsiTheme="minorEastAsia" w:eastAsiaTheme="minorEastAsia"/>
          <w:sz w:val="32"/>
          <w:szCs w:val="32"/>
        </w:rPr>
        <w:t>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%，决算数小于</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val="en-US" w:eastAsia="zh-CN"/>
        </w:rPr>
        <w:t>未产生</w:t>
      </w:r>
      <w:r>
        <w:rPr>
          <w:rFonts w:hint="eastAsia" w:asciiTheme="minorEastAsia" w:hAnsiTheme="minorEastAsia" w:eastAsiaTheme="minorEastAsia"/>
          <w:sz w:val="32"/>
          <w:szCs w:val="32"/>
        </w:rPr>
        <w:t>公务用车购置费及运行维护</w:t>
      </w:r>
      <w:r>
        <w:rPr>
          <w:rFonts w:hint="eastAsia" w:asciiTheme="minorEastAsia" w:hAnsiTheme="minorEastAsia" w:eastAsiaTheme="minorEastAsia"/>
          <w:sz w:val="32"/>
          <w:szCs w:val="32"/>
          <w:lang w:val="en-US" w:eastAsia="zh-CN"/>
        </w:rPr>
        <w:t>费用</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157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1091</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往来业务单位人员</w:t>
      </w:r>
      <w:r>
        <w:rPr>
          <w:rFonts w:hint="eastAsia" w:asciiTheme="minorEastAsia" w:hAnsiTheme="minorEastAsia" w:eastAsiaTheme="minorEastAsia"/>
          <w:sz w:val="32"/>
          <w:szCs w:val="32"/>
        </w:rPr>
        <w:t>发生的接待支出。</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未</w:t>
      </w:r>
      <w:r>
        <w:rPr>
          <w:rFonts w:hint="eastAsia" w:asciiTheme="minorEastAsia" w:hAnsiTheme="minorEastAsia"/>
          <w:sz w:val="32"/>
          <w:szCs w:val="32"/>
        </w:rPr>
        <w:t>更新公务用车</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八、政府性基金预算收入支出决算情况</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cstheme="minorBidi"/>
          <w:color w:val="auto"/>
          <w:kern w:val="2"/>
          <w:sz w:val="32"/>
          <w:szCs w:val="32"/>
          <w:lang w:val="en-US" w:eastAsia="zh-CN" w:bidi="ar-SA"/>
        </w:rPr>
        <w:t>本单位无政府性基金收支。</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九、关于机关运行经费支出说明</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sz w:val="32"/>
          <w:szCs w:val="32"/>
          <w:lang w:val="en-US" w:eastAsia="zh-CN"/>
        </w:rPr>
        <w:t>1</w:t>
      </w:r>
      <w:r>
        <w:rPr>
          <w:rFonts w:hint="eastAsia" w:asciiTheme="minorEastAsia" w:hAnsiTheme="minorEastAsia" w:eastAsiaTheme="minorEastAsia"/>
          <w:sz w:val="32"/>
          <w:szCs w:val="32"/>
        </w:rPr>
        <w:t>年度机关运行经费支出</w:t>
      </w:r>
      <w:r>
        <w:rPr>
          <w:rFonts w:hint="eastAsia" w:asciiTheme="minorEastAsia" w:hAnsiTheme="minorEastAsia"/>
          <w:sz w:val="32"/>
          <w:szCs w:val="32"/>
          <w:lang w:val="en-US" w:eastAsia="zh-CN"/>
        </w:rPr>
        <w:t>158.81</w:t>
      </w:r>
      <w:r>
        <w:rPr>
          <w:rFonts w:hint="eastAsia" w:asciiTheme="minorEastAsia" w:hAnsiTheme="minorEastAsia" w:eastAsiaTheme="minorEastAsia"/>
          <w:sz w:val="32"/>
          <w:szCs w:val="32"/>
        </w:rPr>
        <w:t>万元，比年初预算数</w:t>
      </w:r>
      <w:r>
        <w:rPr>
          <w:rFonts w:hint="eastAsia" w:asciiTheme="minorEastAsia" w:hAnsiTheme="minorEastAsia"/>
          <w:sz w:val="32"/>
          <w:szCs w:val="32"/>
          <w:lang w:val="en-US" w:eastAsia="zh-CN"/>
        </w:rPr>
        <w:t>增加0</w:t>
      </w:r>
      <w:r>
        <w:rPr>
          <w:rFonts w:hint="eastAsia" w:asciiTheme="minorEastAsia" w:hAnsiTheme="minorEastAsia" w:eastAsiaTheme="minorEastAsia"/>
          <w:sz w:val="32"/>
          <w:szCs w:val="32"/>
        </w:rPr>
        <w:t>万元，</w:t>
      </w:r>
      <w:r>
        <w:rPr>
          <w:rFonts w:hint="eastAsia" w:asciiTheme="minorEastAsia" w:hAnsiTheme="minorEastAsia"/>
          <w:sz w:val="32"/>
          <w:szCs w:val="32"/>
          <w:lang w:val="en-US" w:eastAsia="zh-CN"/>
        </w:rPr>
        <w:t xml:space="preserve">增加0 </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我局</w:t>
      </w:r>
      <w:r>
        <w:rPr>
          <w:rFonts w:hint="eastAsia" w:asciiTheme="minorEastAsia" w:hAnsiTheme="minorEastAsia" w:eastAsiaTheme="minorEastAsia"/>
          <w:sz w:val="32"/>
          <w:szCs w:val="32"/>
        </w:rPr>
        <w:t>加强财务监督，落实党中央要求，带头过紧日子，厉行节约，切实降低机关运行成本，推动节约型机关建设</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严格按照预算执行支出</w:t>
      </w:r>
      <w:r>
        <w:rPr>
          <w:rFonts w:hint="eastAsia" w:asciiTheme="minorEastAsia" w:hAnsiTheme="minorEastAsia" w:eastAsiaTheme="minorEastAsia"/>
          <w:sz w:val="32"/>
          <w:szCs w:val="32"/>
        </w:rPr>
        <w:t>。</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十、一般性支出情况</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年本部门开支会议费</w:t>
      </w:r>
      <w:r>
        <w:rPr>
          <w:rFonts w:hint="eastAsia" w:asciiTheme="minorEastAsia" w:hAnsiTheme="minorEastAsia" w:eastAsiaTheme="minorEastAsia"/>
          <w:sz w:val="32"/>
          <w:szCs w:val="32"/>
          <w:lang w:val="en-US" w:eastAsia="zh-CN"/>
        </w:rPr>
        <w:t>9.26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主要用于市第六次党代会会议疫情防控支出，会议人数为450人</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5.98</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val="en-US" w:eastAsia="zh-CN"/>
        </w:rPr>
        <w:t>全市工业经济形势分析暨业务</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val="en-US" w:eastAsia="zh-CN"/>
        </w:rPr>
        <w:t>交流现场会等培训开支</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全市工业经济形势分析暨业务</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val="en-US" w:eastAsia="zh-CN"/>
        </w:rPr>
        <w:t>交流现场会人数约80人，内容为研究当前工业经济运行、技改项目建设情况、工业经济运行监测业务工作培训等。</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十一、关于政府采购支出说明</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年度政府采购支出总额</w:t>
      </w:r>
      <w:r>
        <w:rPr>
          <w:rFonts w:hint="eastAsia" w:asciiTheme="minorEastAsia" w:hAnsiTheme="minorEastAsia" w:eastAsiaTheme="minorEastAsia"/>
          <w:sz w:val="32"/>
          <w:szCs w:val="32"/>
          <w:lang w:val="en-US" w:eastAsia="zh-CN"/>
        </w:rPr>
        <w:t>2511.4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含由市卫健委牵头，市工信局、市财政局配合采购的公共应急物资储备采购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，其中：政府采购货物支出</w:t>
      </w:r>
      <w:r>
        <w:rPr>
          <w:rFonts w:hint="eastAsia" w:asciiTheme="minorEastAsia" w:hAnsiTheme="minorEastAsia" w:eastAsiaTheme="minorEastAsia"/>
          <w:sz w:val="32"/>
          <w:szCs w:val="32"/>
          <w:lang w:val="en-US" w:eastAsia="zh-CN"/>
        </w:rPr>
        <w:t>2510.89</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13.68</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149.77</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5.96</w:t>
      </w:r>
      <w:r>
        <w:rPr>
          <w:rFonts w:hint="eastAsia" w:asciiTheme="minorEastAsia" w:hAnsiTheme="minorEastAsia" w:eastAsiaTheme="minorEastAsia"/>
          <w:sz w:val="32"/>
          <w:szCs w:val="32"/>
        </w:rPr>
        <w:t>%。</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十二、关于国有资产占用情况说明</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keepNext w:val="0"/>
        <w:keepLines w:val="0"/>
        <w:pageBreakBefore w:val="0"/>
        <w:kinsoku/>
        <w:wordWrap/>
        <w:overflowPunct/>
        <w:topLinePunct w:val="0"/>
        <w:bidi w:val="0"/>
        <w:adjustRightInd/>
        <w:snapToGrid/>
        <w:spacing w:line="560" w:lineRule="exact"/>
        <w:ind w:firstLine="640" w:firstLineChars="200"/>
        <w:textAlignment w:val="auto"/>
        <w:rPr>
          <w:rFonts w:hint="eastAsia" w:hAnsi="黑体"/>
          <w:b w:val="0"/>
          <w:bCs/>
          <w:sz w:val="32"/>
          <w:szCs w:val="32"/>
        </w:rPr>
      </w:pPr>
      <w:r>
        <w:rPr>
          <w:rFonts w:hint="eastAsia" w:hAnsi="黑体"/>
          <w:b w:val="0"/>
          <w:bCs/>
          <w:sz w:val="32"/>
          <w:szCs w:val="32"/>
        </w:rPr>
        <w:t>十三、关于202</w:t>
      </w:r>
      <w:r>
        <w:rPr>
          <w:rFonts w:hint="eastAsia" w:hAnsi="黑体"/>
          <w:b w:val="0"/>
          <w:bCs/>
          <w:sz w:val="32"/>
          <w:szCs w:val="32"/>
          <w:lang w:val="en-US" w:eastAsia="zh-CN"/>
        </w:rPr>
        <w:t>1</w:t>
      </w:r>
      <w:r>
        <w:rPr>
          <w:rFonts w:hint="eastAsia" w:hAnsi="黑体"/>
          <w:b w:val="0"/>
          <w:bCs/>
          <w:sz w:val="32"/>
          <w:szCs w:val="32"/>
        </w:rPr>
        <w:t>年度预算绩效情况的说明</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我局清欠工作连续三年获得省政府真抓实干表扬激励；获评2021年度全省中小企业运行监测工作先进单位、“两上三化”工作先进单位、中小企业技术创新“破零倍增”先进单位、“湖湘精品”中小企业品牌能力提升行动先进单位、工业数据云建设先进单位；</w:t>
      </w:r>
      <w:r>
        <w:rPr>
          <w:rFonts w:ascii="仿宋_GB2312" w:hAnsi="宋体" w:eastAsia="仿宋_GB2312" w:cs="宋体"/>
          <w:kern w:val="0"/>
          <w:sz w:val="32"/>
          <w:szCs w:val="32"/>
        </w:rPr>
        <w:t>永州市市本级防控物资保障工作</w:t>
      </w:r>
      <w:r>
        <w:rPr>
          <w:rFonts w:hint="eastAsia" w:ascii="仿宋_GB2312" w:hAnsi="宋体" w:eastAsia="仿宋_GB2312" w:cs="宋体"/>
          <w:kern w:val="0"/>
          <w:sz w:val="32"/>
          <w:szCs w:val="32"/>
        </w:rPr>
        <w:t>获</w:t>
      </w:r>
      <w:r>
        <w:rPr>
          <w:rFonts w:ascii="仿宋_GB2312" w:hAnsi="宋体" w:eastAsia="仿宋_GB2312" w:cs="宋体"/>
          <w:kern w:val="0"/>
          <w:sz w:val="32"/>
          <w:szCs w:val="32"/>
        </w:rPr>
        <w:t>省</w:t>
      </w:r>
      <w:r>
        <w:rPr>
          <w:rFonts w:hint="eastAsia" w:ascii="仿宋_GB2312" w:hAnsi="宋体" w:eastAsia="仿宋_GB2312" w:cs="宋体"/>
          <w:kern w:val="0"/>
          <w:sz w:val="32"/>
          <w:szCs w:val="32"/>
        </w:rPr>
        <w:t>疫情防控</w:t>
      </w:r>
      <w:r>
        <w:rPr>
          <w:rFonts w:ascii="仿宋_GB2312" w:hAnsi="宋体" w:eastAsia="仿宋_GB2312" w:cs="宋体"/>
          <w:kern w:val="0"/>
          <w:sz w:val="32"/>
          <w:szCs w:val="32"/>
        </w:rPr>
        <w:t>物资保障组通报表扬</w:t>
      </w:r>
      <w:r>
        <w:rPr>
          <w:rFonts w:hint="eastAsia" w:ascii="仿宋_GB2312" w:hAnsi="宋体" w:eastAsia="仿宋_GB2312" w:cs="宋体"/>
          <w:kern w:val="0"/>
          <w:sz w:val="32"/>
          <w:szCs w:val="32"/>
        </w:rPr>
        <w:t>。圆满完成了预算规划的各项工作及市委、市政府交办的其他事项，履行了部门各项职责，达到了预算所设立的主要目标，2021年度永州市工业和信息化局部门整体支出绩效自评结果为98</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分。</w:t>
      </w:r>
    </w:p>
    <w:p>
      <w:pPr>
        <w:pStyle w:val="7"/>
        <w:keepNext w:val="0"/>
        <w:keepLines w:val="0"/>
        <w:pageBreakBefore w:val="0"/>
        <w:widowControl/>
        <w:numPr>
          <w:ilvl w:val="0"/>
          <w:numId w:val="1"/>
        </w:numPr>
        <w:shd w:val="clear" w:color="auto" w:fill="FFFFFF"/>
        <w:kinsoku/>
        <w:wordWrap/>
        <w:overflowPunct/>
        <w:topLinePunct w:val="0"/>
        <w:bidi w:val="0"/>
        <w:adjustRightInd/>
        <w:snapToGrid/>
        <w:spacing w:before="0" w:beforeAutospacing="0" w:after="0" w:afterAutospacing="0" w:line="560" w:lineRule="exact"/>
        <w:ind w:firstLine="640"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经济效益评价</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全市规模工业增加值保持稳步增长，全年同比增长8%，工业用电量67.2亿千瓦时，同比增长17.96%；工业实缴税金47.4亿元，同比增长16.8%；全市工业技改投资同比增长12.8%、工业固定资产投资同比增长1%；新入统规模工业企业102家。</w:t>
      </w:r>
    </w:p>
    <w:p>
      <w:pPr>
        <w:pStyle w:val="7"/>
        <w:keepNext w:val="0"/>
        <w:keepLines w:val="0"/>
        <w:pageBreakBefore w:val="0"/>
        <w:widowControl/>
        <w:numPr>
          <w:ilvl w:val="0"/>
          <w:numId w:val="1"/>
        </w:numPr>
        <w:shd w:val="clear" w:color="auto" w:fill="FFFFFF"/>
        <w:kinsoku/>
        <w:wordWrap/>
        <w:overflowPunct/>
        <w:topLinePunct w:val="0"/>
        <w:bidi w:val="0"/>
        <w:adjustRightInd/>
        <w:snapToGrid/>
        <w:spacing w:before="0" w:beforeAutospacing="0" w:after="0" w:afterAutospacing="0" w:line="560" w:lineRule="exact"/>
        <w:ind w:firstLine="640"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管理效率评价</w:t>
      </w:r>
    </w:p>
    <w:p>
      <w:pPr>
        <w:pStyle w:val="7"/>
        <w:keepNext w:val="0"/>
        <w:keepLines w:val="0"/>
        <w:pageBreakBefore w:val="0"/>
        <w:widowControl/>
        <w:shd w:val="clear" w:color="auto" w:fill="FFFFFF"/>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为强化部门整体支出，加强国有资产管理，提高资金使用效益，提升财务管理，建立节约型机关，我局以优化内部结构，健全规章制度，强化内部管理，规范办事程序，提高服务质量为重点，在强化业务管理、财务管理和厉行节约方面开展了大量工作，机关工作作风进一步改变，行政效能进一步提高。</w:t>
      </w:r>
    </w:p>
    <w:p>
      <w:pPr>
        <w:pStyle w:val="7"/>
        <w:keepNext w:val="0"/>
        <w:keepLines w:val="0"/>
        <w:pageBreakBefore w:val="0"/>
        <w:widowControl/>
        <w:shd w:val="clear" w:color="auto" w:fill="FFFFFF"/>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宋体" w:eastAsia="仿宋_GB2312" w:cs="宋体"/>
          <w:sz w:val="32"/>
          <w:szCs w:val="32"/>
        </w:rPr>
      </w:pPr>
      <w:r>
        <w:rPr>
          <w:rFonts w:hint="eastAsia" w:ascii="仿宋_GB2312" w:eastAsia="仿宋_GB2312"/>
          <w:b/>
          <w:bCs/>
          <w:sz w:val="32"/>
          <w:szCs w:val="32"/>
        </w:rPr>
        <w:t>1.实行重点管控，确保“三公”等经费只减不增。</w:t>
      </w:r>
      <w:r>
        <w:rPr>
          <w:rFonts w:hint="eastAsia" w:ascii="仿宋_GB2312" w:hAnsi="宋体" w:eastAsia="仿宋_GB2312" w:cs="宋体"/>
          <w:b/>
          <w:bCs/>
          <w:sz w:val="32"/>
          <w:szCs w:val="32"/>
        </w:rPr>
        <w:t>一是</w:t>
      </w:r>
      <w:r>
        <w:rPr>
          <w:rFonts w:hint="eastAsia" w:ascii="仿宋_GB2312" w:hAnsi="宋体" w:eastAsia="仿宋_GB2312" w:cs="宋体"/>
          <w:sz w:val="32"/>
          <w:szCs w:val="32"/>
        </w:rPr>
        <w:t>与公务无关的接待不予报销，严格按标准接待。</w:t>
      </w:r>
      <w:r>
        <w:rPr>
          <w:rFonts w:hint="eastAsia" w:ascii="仿宋_GB2312" w:hAnsi="宋体" w:eastAsia="仿宋_GB2312" w:cs="宋体"/>
          <w:b/>
          <w:bCs/>
          <w:sz w:val="32"/>
          <w:szCs w:val="32"/>
        </w:rPr>
        <w:t>二是</w:t>
      </w:r>
      <w:r>
        <w:rPr>
          <w:rFonts w:hint="eastAsia" w:ascii="仿宋_GB2312" w:hAnsi="宋体" w:eastAsia="仿宋_GB2312" w:cs="宋体"/>
          <w:sz w:val="32"/>
          <w:szCs w:val="32"/>
        </w:rPr>
        <w:t>从严从紧控制因公出国（境）人数和批次。</w:t>
      </w:r>
    </w:p>
    <w:p>
      <w:pPr>
        <w:pStyle w:val="7"/>
        <w:keepNext w:val="0"/>
        <w:keepLines w:val="0"/>
        <w:pageBreakBefore w:val="0"/>
        <w:widowControl/>
        <w:shd w:val="clear" w:color="auto" w:fill="FFFFFF"/>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宋体" w:eastAsia="仿宋_GB2312" w:cs="宋体"/>
          <w:sz w:val="32"/>
          <w:szCs w:val="32"/>
        </w:rPr>
      </w:pPr>
      <w:r>
        <w:rPr>
          <w:rFonts w:hint="eastAsia" w:ascii="仿宋_GB2312" w:eastAsia="仿宋_GB2312"/>
          <w:b/>
          <w:bCs/>
          <w:sz w:val="32"/>
          <w:szCs w:val="32"/>
        </w:rPr>
        <w:t>2.严格审核审批，严控经费支出。</w:t>
      </w:r>
      <w:r>
        <w:rPr>
          <w:rFonts w:hint="eastAsia" w:ascii="仿宋_GB2312" w:hAnsi="宋体" w:eastAsia="仿宋_GB2312" w:cs="宋体"/>
          <w:b/>
          <w:bCs/>
          <w:sz w:val="32"/>
          <w:szCs w:val="32"/>
        </w:rPr>
        <w:t>一是</w:t>
      </w:r>
      <w:r>
        <w:rPr>
          <w:rFonts w:hint="eastAsia" w:ascii="仿宋_GB2312" w:hAnsi="宋体" w:eastAsia="仿宋_GB2312" w:cs="宋体"/>
          <w:sz w:val="32"/>
          <w:szCs w:val="32"/>
        </w:rPr>
        <w:t>严格审核原始单据，要求发票合法合规，相关资料真实完整，不符合要求的不予报账。</w:t>
      </w:r>
      <w:r>
        <w:rPr>
          <w:rFonts w:hint="eastAsia" w:ascii="仿宋_GB2312" w:hAnsi="宋体" w:eastAsia="仿宋_GB2312" w:cs="宋体"/>
          <w:b/>
          <w:bCs/>
          <w:sz w:val="32"/>
          <w:szCs w:val="32"/>
        </w:rPr>
        <w:t>二是</w:t>
      </w:r>
      <w:r>
        <w:rPr>
          <w:rFonts w:hint="eastAsia" w:ascii="仿宋_GB2312" w:hAnsi="宋体" w:eastAsia="仿宋_GB2312" w:cs="宋体"/>
          <w:sz w:val="32"/>
          <w:szCs w:val="32"/>
        </w:rPr>
        <w:t>严格审核经费来源，根据部门预算安排和资金使用进度，核实每笔报账申请的经费来源，无预算经费来源的支出不予报账。</w:t>
      </w:r>
      <w:r>
        <w:rPr>
          <w:rFonts w:hint="eastAsia" w:ascii="仿宋_GB2312" w:hAnsi="宋体" w:eastAsia="仿宋_GB2312" w:cs="宋体"/>
          <w:b/>
          <w:bCs/>
          <w:sz w:val="32"/>
          <w:szCs w:val="32"/>
        </w:rPr>
        <w:t>三是</w:t>
      </w:r>
      <w:r>
        <w:rPr>
          <w:rFonts w:hint="eastAsia" w:ascii="仿宋_GB2312" w:hAnsi="宋体" w:eastAsia="仿宋_GB2312" w:cs="宋体"/>
          <w:sz w:val="32"/>
          <w:szCs w:val="32"/>
        </w:rPr>
        <w:t>严格审核各项制度执行情况，没有按规定及程序审批的不予报账，超出预算限额的不予报账。</w:t>
      </w:r>
    </w:p>
    <w:p>
      <w:pPr>
        <w:pStyle w:val="7"/>
        <w:keepNext w:val="0"/>
        <w:keepLines w:val="0"/>
        <w:pageBreakBefore w:val="0"/>
        <w:widowControl/>
        <w:shd w:val="clear" w:color="auto" w:fill="FFFFFF"/>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宋体" w:eastAsia="仿宋_GB2312" w:cs="宋体"/>
          <w:sz w:val="32"/>
          <w:szCs w:val="32"/>
        </w:rPr>
      </w:pPr>
      <w:r>
        <w:rPr>
          <w:rFonts w:hint="eastAsia" w:ascii="仿宋_GB2312" w:eastAsia="仿宋_GB2312"/>
          <w:b/>
          <w:bCs/>
          <w:sz w:val="32"/>
          <w:szCs w:val="32"/>
        </w:rPr>
        <w:t>3.加强财务管理，规范财务开支。</w:t>
      </w:r>
      <w:r>
        <w:rPr>
          <w:rFonts w:hint="eastAsia" w:ascii="仿宋_GB2312" w:hAnsi="宋体" w:eastAsia="仿宋_GB2312" w:cs="宋体"/>
          <w:sz w:val="32"/>
          <w:szCs w:val="32"/>
        </w:rPr>
        <w:t>按照市财政局要求对部门预算、决算、绩效、三公经费等相关信息进行公示，根据经费支出情况，我局办公室定期进行经费支出财务统计和分析，定期向分管领导进行汇报，对经费支出的管理状况提出财务建议。　　</w:t>
      </w:r>
    </w:p>
    <w:p>
      <w:pPr>
        <w:pStyle w:val="7"/>
        <w:keepNext w:val="0"/>
        <w:keepLines w:val="0"/>
        <w:pageBreakBefore w:val="0"/>
        <w:widowControl/>
        <w:numPr>
          <w:ilvl w:val="0"/>
          <w:numId w:val="1"/>
        </w:numPr>
        <w:shd w:val="clear" w:color="auto" w:fill="FFFFFF"/>
        <w:kinsoku/>
        <w:wordWrap/>
        <w:overflowPunct/>
        <w:topLinePunct w:val="0"/>
        <w:bidi w:val="0"/>
        <w:adjustRightInd/>
        <w:snapToGrid/>
        <w:spacing w:before="0" w:beforeAutospacing="0" w:after="0" w:afterAutospacing="0" w:line="560" w:lineRule="exact"/>
        <w:ind w:firstLine="640"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履职效能评价</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eastAsia="仿宋_GB2312"/>
          <w:b/>
          <w:bCs/>
          <w:kern w:val="0"/>
          <w:sz w:val="32"/>
          <w:szCs w:val="32"/>
        </w:rPr>
      </w:pPr>
      <w:r>
        <w:rPr>
          <w:rFonts w:hint="eastAsia" w:ascii="仿宋_GB2312" w:eastAsia="仿宋_GB2312" w:cs="仿宋"/>
          <w:color w:val="000000"/>
          <w:sz w:val="32"/>
          <w:szCs w:val="32"/>
        </w:rPr>
        <w:t>2021年，市工信局努力克服新冠疫情和国内外复杂严峻形势带来的不利影响，狠抓运行调度、紧抓园区发展、大抓项目建设、实抓企业服务，全市工业经济稳中向好。</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firstLine="640" w:firstLineChars="200"/>
        <w:textAlignment w:val="auto"/>
        <w:rPr>
          <w:rFonts w:hint="eastAsia" w:ascii="仿宋_GB2312" w:hAnsi="Calibri" w:eastAsia="仿宋_GB2312" w:cs="仿宋_GB2312"/>
          <w:sz w:val="32"/>
          <w:szCs w:val="32"/>
        </w:rPr>
      </w:pPr>
      <w:r>
        <w:rPr>
          <w:rFonts w:hint="eastAsia" w:ascii="仿宋_GB2312" w:eastAsia="仿宋_GB2312"/>
          <w:b w:val="0"/>
          <w:bCs w:val="0"/>
          <w:kern w:val="0"/>
          <w:sz w:val="32"/>
          <w:szCs w:val="32"/>
        </w:rPr>
        <w:t>1.规模工业增速稳步增长。</w:t>
      </w:r>
      <w:r>
        <w:rPr>
          <w:rFonts w:hint="eastAsia" w:ascii="仿宋_GB2312" w:hAnsi="宋体" w:eastAsia="仿宋_GB2312" w:cs="宋体"/>
          <w:kern w:val="0"/>
          <w:sz w:val="32"/>
          <w:szCs w:val="32"/>
        </w:rPr>
        <w:t>2021年，全市工业经济面临原材料价格大幅上涨、需求下降、统计督查等严峻考验，规模工业增加值增幅逐步回落，全市退库保留基数企业达到199家。全市工信系统精准施策、攻坚克难、担当作为，通过大力开展“纾困增效”“亏损工业企业帮扶”等一系列专项行动，规模</w:t>
      </w:r>
      <w:r>
        <w:rPr>
          <w:rFonts w:hint="eastAsia" w:ascii="仿宋_GB2312" w:hAnsi="Calibri" w:eastAsia="仿宋_GB2312" w:cs="仿宋_GB2312"/>
          <w:sz w:val="32"/>
          <w:szCs w:val="32"/>
        </w:rPr>
        <w:t>工业增加值</w:t>
      </w:r>
      <w:r>
        <w:rPr>
          <w:rFonts w:hint="eastAsia" w:ascii="仿宋_GB2312" w:eastAsia="仿宋_GB2312" w:cs="仿宋_GB2312"/>
          <w:sz w:val="32"/>
          <w:szCs w:val="32"/>
        </w:rPr>
        <w:t>保持稳步增长，</w:t>
      </w:r>
      <w:r>
        <w:rPr>
          <w:rFonts w:hint="eastAsia" w:ascii="仿宋_GB2312" w:hAnsi="Calibri" w:eastAsia="仿宋_GB2312" w:cs="仿宋_GB2312"/>
          <w:sz w:val="32"/>
          <w:szCs w:val="32"/>
        </w:rPr>
        <w:t>全年同比增长</w:t>
      </w:r>
      <w:r>
        <w:rPr>
          <w:rFonts w:hint="eastAsia" w:ascii="仿宋_GB2312" w:eastAsia="仿宋_GB2312" w:cs="仿宋_GB2312"/>
          <w:sz w:val="32"/>
          <w:szCs w:val="32"/>
        </w:rPr>
        <w:t>8</w:t>
      </w:r>
      <w:r>
        <w:rPr>
          <w:rFonts w:hint="eastAsia" w:ascii="仿宋_GB2312" w:hAnsi="Calibri" w:eastAsia="仿宋_GB2312" w:cs="仿宋_GB2312"/>
          <w:sz w:val="32"/>
          <w:szCs w:val="32"/>
        </w:rPr>
        <w:t>%。</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b w:val="0"/>
          <w:bCs w:val="0"/>
          <w:kern w:val="0"/>
          <w:sz w:val="32"/>
          <w:szCs w:val="32"/>
        </w:rPr>
        <w:t>2.“五好”园区创建成效明显。</w:t>
      </w:r>
      <w:r>
        <w:rPr>
          <w:rFonts w:hint="eastAsia" w:ascii="仿宋_GB2312" w:eastAsia="仿宋_GB2312"/>
          <w:sz w:val="32"/>
          <w:szCs w:val="32"/>
        </w:rPr>
        <w:t>全面</w:t>
      </w:r>
      <w:r>
        <w:rPr>
          <w:rFonts w:hint="eastAsia" w:ascii="仿宋_GB2312" w:eastAsia="仿宋_GB2312"/>
          <w:sz w:val="32"/>
          <w:szCs w:val="30"/>
        </w:rPr>
        <w:t>贯彻落实全省产业园区高质量发展会议精神，</w:t>
      </w:r>
      <w:r>
        <w:rPr>
          <w:rFonts w:hint="eastAsia" w:ascii="仿宋_GB2312" w:eastAsia="仿宋_GB2312"/>
          <w:sz w:val="32"/>
          <w:szCs w:val="32"/>
        </w:rPr>
        <w:t>以创建“五好”园区为目标，大力实施园区高质量发展“提质攻坚”三年行动，</w:t>
      </w:r>
      <w:r>
        <w:rPr>
          <w:rFonts w:hint="eastAsia" w:ascii="仿宋_GB2312" w:eastAsia="仿宋_GB2312"/>
          <w:sz w:val="32"/>
          <w:szCs w:val="30"/>
        </w:rPr>
        <w:t>重点聚焦招商引资、项目建设、企业培育、基础设施、优化环境等五个方面的攻坚，实行“一季一考核、一季一通报、一季一讲评”高效调度机制，</w:t>
      </w:r>
      <w:r>
        <w:rPr>
          <w:rFonts w:hint="eastAsia" w:ascii="仿宋_GB2312" w:eastAsia="仿宋_GB2312"/>
          <w:sz w:val="32"/>
          <w:szCs w:val="32"/>
        </w:rPr>
        <w:t>突出抓问题督导整改，取得良好成效。2021年，全市园区规模工业增加值同比增长10.4%，园区规模工业实缴税收24亿元，园区新增入统规模工业企业102家，新建成标准厂房面积176.56万平方米。永州经开区成功创建国家级经开区，蓝山皮具箱包产业列入湖南“十大产业集群”之一，祁阳白水现代纺织小镇、蓝山皮具箱包小镇获评“全省特色产业小镇”。祁阳的“PBOS”建园模式在全省产业园区高质量发展推进会会议作为典型经验推广发言，江华高新区获省政府2021年重点工作综合大督查发现的典型经验做法通报表扬；祁阳高新区、道县高新区获省制造强省专项资金园区产业高质量发展奖励。祁阳高新区、江华高新区分别获得2021年度省政府“双创”示范基地、园区建设真抓实干表彰，道县高新区、零陵产业开发区在全省新型工业化示范基地在线评价中排前5名，获奖补资金300万元，我市获奖数量和名次排全省前列。</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b w:val="0"/>
          <w:bCs w:val="0"/>
          <w:kern w:val="0"/>
          <w:sz w:val="32"/>
          <w:szCs w:val="32"/>
        </w:rPr>
        <w:t>3.打造先进制造业高地稳步推进。</w:t>
      </w:r>
      <w:r>
        <w:rPr>
          <w:rFonts w:hint="eastAsia" w:ascii="仿宋_GB2312" w:eastAsia="仿宋_GB2312"/>
          <w:sz w:val="32"/>
          <w:szCs w:val="32"/>
        </w:rPr>
        <w:t>制定出台《永州市“十四五”工业发展规划》《打造先进制造业高地实施方案》，大力实施先进制造业倍增、产业链供应链提升等“六大工程”，全面推行“群长制”“链长制”，持续补链、强链、延链，加快打造制造业高地，</w:t>
      </w:r>
      <w:r>
        <w:rPr>
          <w:rFonts w:hint="eastAsia" w:ascii="仿宋_GB2312" w:hAnsi="Calibri" w:eastAsia="仿宋_GB2312" w:cs="楷体"/>
          <w:sz w:val="32"/>
          <w:szCs w:val="32"/>
        </w:rPr>
        <w:t>在深圳举办制造业投资贸易洽谈会，签约48个制造业项目，签约引资315亿元</w:t>
      </w:r>
      <w:r>
        <w:rPr>
          <w:rFonts w:hint="eastAsia" w:ascii="仿宋_GB2312" w:eastAsia="仿宋_GB2312"/>
          <w:sz w:val="32"/>
          <w:szCs w:val="32"/>
        </w:rPr>
        <w:t>。2021年，全市先进装备制造、电子信息、新材料、生物医药、轻纺制鞋、农产品精深加工等六大制造业产业链规模以上工业企业实现产值1700.4亿元、同比增长12.23%。</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b w:val="0"/>
          <w:bCs w:val="0"/>
          <w:kern w:val="0"/>
          <w:sz w:val="32"/>
          <w:szCs w:val="32"/>
        </w:rPr>
        <w:t>4.项目建设强力推进。</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技改项目来势较好。</w:t>
      </w:r>
      <w:r>
        <w:rPr>
          <w:rFonts w:hint="eastAsia" w:ascii="仿宋_GB2312" w:eastAsia="仿宋_GB2312"/>
          <w:sz w:val="32"/>
          <w:szCs w:val="32"/>
        </w:rPr>
        <w:t>全年新开工技改项目390个，竣工投产技改项目391个，为企业增产增效奠定了坚实基础。</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重点项目推进较快。</w:t>
      </w:r>
      <w:r>
        <w:rPr>
          <w:rFonts w:hint="eastAsia" w:ascii="仿宋_GB2312" w:eastAsia="仿宋_GB2312"/>
          <w:sz w:val="32"/>
          <w:szCs w:val="32"/>
        </w:rPr>
        <w:t>全年新竣工投产项目209个，国能永州电厂、鑫视界电子、凯杰鞋业、锐毅马达等一批潜力大、前景好的项目竣工投产并入统发力。莲花水泥异地扩能项目预计2022年5月投产。</w:t>
      </w:r>
      <w:r>
        <w:rPr>
          <w:rFonts w:hint="eastAsia" w:ascii="仿宋_GB2312" w:hAnsi="仿宋_GB2312" w:eastAsia="仿宋_GB2312" w:cs="仿宋_GB2312"/>
          <w:b/>
          <w:bCs/>
          <w:sz w:val="32"/>
          <w:szCs w:val="32"/>
        </w:rPr>
        <w:t>三是</w:t>
      </w:r>
      <w:r>
        <w:rPr>
          <w:rFonts w:hint="eastAsia" w:ascii="仿宋_GB2312" w:eastAsia="仿宋_GB2312"/>
          <w:sz w:val="32"/>
          <w:szCs w:val="32"/>
        </w:rPr>
        <w:t>“5个10”项目推进顺利。超额完成省“5个100”、市“5个10”重大产品创新强基项目年度目标任务，其中30个市级产品创新强基项目完成36.08亿元，占全年计划的174.3%；8个省级重大产品创新项目，完成投资4.254亿元，占全年计划的141.09%，投资完成率在全省二类市州排第1位，新产品销售收入占比综合评价在全省二类市州中排第1位。</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eastAsia="仿宋_GB2312"/>
        </w:rPr>
      </w:pPr>
      <w:r>
        <w:rPr>
          <w:rFonts w:hint="eastAsia" w:ascii="仿宋_GB2312" w:eastAsia="仿宋_GB2312"/>
          <w:b w:val="0"/>
          <w:bCs w:val="0"/>
          <w:kern w:val="0"/>
          <w:sz w:val="32"/>
          <w:szCs w:val="32"/>
        </w:rPr>
        <w:t>5.绿色制造实现新跨越。</w:t>
      </w:r>
      <w:r>
        <w:rPr>
          <w:rFonts w:hint="eastAsia" w:ascii="仿宋_GB2312" w:hAnsi="仿宋" w:eastAsia="仿宋_GB2312" w:cs="仿宋"/>
          <w:sz w:val="32"/>
          <w:szCs w:val="32"/>
        </w:rPr>
        <w:t>持续深入推进绿色制造，</w:t>
      </w:r>
      <w:r>
        <w:rPr>
          <w:rFonts w:hint="eastAsia" w:ascii="仿宋_GB2312" w:hAnsi="Calibri" w:eastAsia="仿宋_GB2312" w:cs="楷体"/>
          <w:sz w:val="32"/>
          <w:szCs w:val="32"/>
        </w:rPr>
        <w:t>成功创建一批绿色制造体系建设示范单位。时代阳光成功创建国家绿色工厂、科力尔电机创建为国家绿色设计产品，成功创建5个省绿色制造示范单位、1个省绿色设计产品，永州红狮、江华海螺成功创建省绿色工厂，永州</w:t>
      </w:r>
      <w:r>
        <w:rPr>
          <w:rFonts w:hint="eastAsia" w:ascii="仿宋_GB2312" w:hAnsi="仿宋" w:eastAsia="仿宋_GB2312" w:cs="仿宋"/>
          <w:sz w:val="32"/>
          <w:szCs w:val="32"/>
        </w:rPr>
        <w:t>经开区、道县高新技术产业开发区成功创建省绿色园区，</w:t>
      </w:r>
      <w:r>
        <w:rPr>
          <w:rFonts w:hint="eastAsia" w:ascii="仿宋_GB2312" w:eastAsia="仿宋_GB2312"/>
          <w:sz w:val="32"/>
          <w:szCs w:val="32"/>
        </w:rPr>
        <w:t>为绿色发展起到了良好的示范引领作用。制定出台《永州市中心城区预拌砂浆管理办法》，严格管理与监督，全力促进资源节约与可持续性发展。市民营经济发展服务中心首次独立承担节能监察专项任务</w:t>
      </w:r>
      <w:r>
        <w:rPr>
          <w:rFonts w:hint="eastAsia" w:ascii="仿宋_GB2312" w:eastAsia="仿宋_GB2312" w:cs="楷体"/>
          <w:sz w:val="32"/>
          <w:szCs w:val="32"/>
        </w:rPr>
        <w:t>，出色完成了目标任务，并获省工信厅通报表扬。</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eastAsia="仿宋_GB2312"/>
          <w:b w:val="0"/>
          <w:bCs w:val="0"/>
          <w:kern w:val="0"/>
          <w:sz w:val="32"/>
          <w:szCs w:val="32"/>
        </w:rPr>
        <w:t>6.企业培优取得新突破。</w:t>
      </w:r>
      <w:r>
        <w:rPr>
          <w:rFonts w:hint="eastAsia" w:ascii="仿宋_GB2312" w:hAnsi="仿宋_GB2312" w:eastAsia="仿宋_GB2312" w:cs="仿宋_GB2312"/>
          <w:kern w:val="0"/>
          <w:sz w:val="32"/>
          <w:szCs w:val="32"/>
        </w:rPr>
        <w:t>大力实施“小巨人”企业培育计划、技术创新“破零倍增”和“两上三化”行动计划。2021年，新认定国家级“小巨人”企业3家、省级“小巨人”企业22家，市级“小巨人”企业44家，获评“湖湘精品”中小企业品牌能力提升标杆企业2家，获评2021年“湖南省工业质量标杆”企业1家，获评“湖南省智能制造系统解决方案供应商”1家，41家企业发明专利实现“破零”。完成627家企业深度“上云”，384家企业“上平台”，完成率均高于全省整体水平。</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eastAsia="仿宋_GB2312"/>
          <w:b w:val="0"/>
          <w:bCs w:val="0"/>
          <w:kern w:val="0"/>
          <w:sz w:val="32"/>
          <w:szCs w:val="32"/>
        </w:rPr>
        <w:t>7.企业帮扶精准有效。</w:t>
      </w:r>
      <w:r>
        <w:rPr>
          <w:rFonts w:hint="eastAsia" w:ascii="仿宋_GB2312" w:hAnsi="楷体_GB2312" w:eastAsia="仿宋_GB2312" w:cs="楷体_GB2312"/>
          <w:kern w:val="0"/>
          <w:sz w:val="32"/>
          <w:szCs w:val="32"/>
        </w:rPr>
        <w:t>惠企政策落地见效。</w:t>
      </w:r>
      <w:r>
        <w:rPr>
          <w:rFonts w:hint="eastAsia" w:ascii="仿宋_GB2312" w:hAnsi="仿宋_GB2312" w:eastAsia="仿宋_GB2312" w:cs="仿宋_GB2312"/>
          <w:kern w:val="0"/>
          <w:sz w:val="32"/>
          <w:szCs w:val="32"/>
        </w:rPr>
        <w:t>编印《2021年政策汇编》免费发给企业，让企业更全面地了解政策，用足用好政策，对各县市区惠企政策落实情况进行督导，确保惠企政策落地落实见效。全年新增减税降费6.42亿元，企业养老社会保险减免2.4亿元，失业保险费率减免1.04亿元，工伤保险减免1.3亿元。</w:t>
      </w:r>
      <w:r>
        <w:rPr>
          <w:rFonts w:hint="eastAsia" w:ascii="仿宋_GB2312" w:hAnsi="楷体_GB2312" w:eastAsia="仿宋_GB2312" w:cs="楷体_GB2312"/>
          <w:kern w:val="0"/>
          <w:sz w:val="32"/>
          <w:szCs w:val="32"/>
        </w:rPr>
        <w:t>争资跑项再创佳绩。</w:t>
      </w:r>
      <w:r>
        <w:rPr>
          <w:rFonts w:hint="eastAsia" w:ascii="仿宋_GB2312" w:hAnsi="仿宋_GB2312" w:eastAsia="仿宋_GB2312" w:cs="仿宋_GB2312"/>
          <w:kern w:val="0"/>
          <w:sz w:val="32"/>
          <w:szCs w:val="32"/>
        </w:rPr>
        <w:t>全年为124个发展前景好、经济效益高、税收贡献大的优质企业项目申报各类专项资金及奖补资金共7092.71万元，并对资金拨付情况进行跟踪督导，确保所有项目资金及时拨付到位。</w:t>
      </w:r>
      <w:r>
        <w:rPr>
          <w:rFonts w:hint="eastAsia" w:ascii="仿宋_GB2312" w:hAnsi="楷体_GB2312" w:eastAsia="仿宋_GB2312" w:cs="楷体_GB2312"/>
          <w:kern w:val="0"/>
          <w:sz w:val="32"/>
          <w:szCs w:val="32"/>
        </w:rPr>
        <w:t>政银企合作更加紧密。</w:t>
      </w:r>
      <w:r>
        <w:rPr>
          <w:rFonts w:hint="eastAsia" w:ascii="仿宋_GB2312" w:hAnsi="仿宋_GB2312" w:eastAsia="仿宋_GB2312" w:cs="仿宋_GB2312"/>
          <w:kern w:val="0"/>
          <w:sz w:val="32"/>
          <w:szCs w:val="32"/>
        </w:rPr>
        <w:t>组织开展银企对接活动4次，服务企业130余家，涉及金额1.6亿余元，切实解决企业融资难、融资贵问题；协调金融机构为恒远发电办理1300万元贷款延期还本付息手续，协调华融湘江银行永州分行分别为湖南鑫湘源农业开发有限公司、湖南都成国际食品有限公司、湖南天惠油茶开发股份有限公司发放贷款620万元、560万元、370万元，帮助企业渡过难关。</w:t>
      </w:r>
    </w:p>
    <w:p>
      <w:pPr>
        <w:pStyle w:val="15"/>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eastAsia="仿宋_GB2312"/>
          <w:b w:val="0"/>
          <w:bCs w:val="0"/>
          <w:kern w:val="0"/>
          <w:sz w:val="32"/>
          <w:szCs w:val="32"/>
        </w:rPr>
        <w:t>8.信息化工作扎实推进。</w:t>
      </w:r>
      <w:r>
        <w:rPr>
          <w:rFonts w:hint="eastAsia" w:ascii="仿宋_GB2312" w:hAnsi="仿宋_GB2312" w:eastAsia="仿宋_GB2312" w:cs="仿宋_GB2312"/>
          <w:kern w:val="0"/>
          <w:sz w:val="32"/>
          <w:szCs w:val="32"/>
        </w:rPr>
        <w:t>2021年，电子信息规模以上企业达到171家，总产值超过300亿元，同比增长19.1%，全省电子信息制造业发展工作会议在我市召开，道县电子信息产业发展经验在会上推介。全市两化融合管理体系贯标企业发展至14家，其中湖南瑶珍粮油有限公司获评两化融合管理体系贯标标杆企业。在全省首次实行通管办“双主任制”工作试点，完善理顺通信工作管理职责职能，有力推动全市通信工作顺利推进。组织制定了《永州市加快推进通信基础设施建设工作方案》《永州市5G通信基础设施专项规划（2021-2025）》等文件，建立健全全市5G建设联合工作机制，定期调度和协调跟进通信项目建设。2021年，全市新开通5G基站1650个，累计开通新建5G基站3250个。</w:t>
      </w:r>
    </w:p>
    <w:p>
      <w:pPr>
        <w:pStyle w:val="15"/>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firstLine="640" w:firstLineChars="200"/>
        <w:textAlignment w:val="auto"/>
        <w:rPr>
          <w:rFonts w:hint="eastAsia" w:ascii="仿宋_GB2312" w:eastAsia="仿宋_GB2312"/>
        </w:rPr>
      </w:pPr>
      <w:r>
        <w:rPr>
          <w:rFonts w:hint="eastAsia" w:ascii="仿宋_GB2312" w:eastAsia="仿宋_GB2312"/>
          <w:b w:val="0"/>
          <w:bCs w:val="0"/>
          <w:kern w:val="0"/>
          <w:sz w:val="32"/>
          <w:szCs w:val="32"/>
        </w:rPr>
        <w:t>9.供用电秩序整治深入开展。</w:t>
      </w:r>
      <w:r>
        <w:rPr>
          <w:rFonts w:hint="eastAsia" w:ascii="仿宋_GB2312" w:hAnsi="仿宋" w:eastAsia="仿宋_GB2312" w:cs="仿宋"/>
          <w:kern w:val="0"/>
          <w:sz w:val="32"/>
        </w:rPr>
        <w:t>持续加强电力设施建设保护和供用电秩序维护工作，确保电网安全运行和电力可靠供应。全年电力设施建设环境整治完成23项；累计治理电力通道12056公里，排查隐患缺陷14131处，已处理11143处；高危重要电力用户及专线专变安全隐患整治完成整改216户；全市住宅小区“专改公”完成9个，反窃电整治完成整治61个，查处窃电户1107户，追补电费及违约使用电费832万元，为全市经济社会发展提供了强有力的电力支撑。</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第四部分</w:t>
      </w:r>
    </w:p>
    <w:p>
      <w:pPr>
        <w:jc w:val="center"/>
        <w:rPr>
          <w:rFonts w:ascii="黑体" w:eastAsia="黑体" w:cs="黑体"/>
          <w:color w:val="000000"/>
          <w:kern w:val="0"/>
          <w:sz w:val="84"/>
          <w:szCs w:val="84"/>
        </w:rPr>
      </w:pPr>
    </w:p>
    <w:p>
      <w:pPr>
        <w:jc w:val="center"/>
        <w:rPr>
          <w:rFonts w:ascii="黑体" w:eastAsia="黑体" w:cs="黑体"/>
          <w:color w:val="000000"/>
          <w:kern w:val="0"/>
          <w:sz w:val="70"/>
          <w:szCs w:val="70"/>
        </w:rPr>
      </w:pPr>
      <w:r>
        <w:rPr>
          <w:rFonts w:hint="eastAsia" w:ascii="黑体" w:eastAsia="黑体" w:cs="黑体"/>
          <w:color w:val="000000"/>
          <w:kern w:val="0"/>
          <w:sz w:val="84"/>
          <w:szCs w:val="84"/>
        </w:rPr>
        <w:t>名词解释</w:t>
      </w: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ascii="sans-serif" w:hAnsi="sans-serif" w:cs="sans-serif"/>
          <w:i w:val="0"/>
          <w:iCs w:val="0"/>
          <w:caps w:val="0"/>
          <w:color w:val="333333"/>
          <w:spacing w:val="0"/>
          <w:sz w:val="21"/>
          <w:szCs w:val="21"/>
        </w:rPr>
      </w:pPr>
      <w:r>
        <w:rPr>
          <w:rFonts w:hint="eastAsia" w:cs="黑体" w:asciiTheme="minorEastAsia" w:hAnsiTheme="minorEastAsia"/>
          <w:color w:val="000000"/>
          <w:kern w:val="0"/>
          <w:sz w:val="32"/>
          <w:szCs w:val="32"/>
        </w:rPr>
        <w:t>一、</w:t>
      </w:r>
      <w:r>
        <w:rPr>
          <w:rFonts w:hint="eastAsia" w:ascii="宋体" w:hAnsi="宋体" w:eastAsia="宋体" w:cs="宋体"/>
          <w:i w:val="0"/>
          <w:iCs w:val="0"/>
          <w:caps w:val="0"/>
          <w:color w:val="000000"/>
          <w:spacing w:val="0"/>
          <w:sz w:val="30"/>
          <w:szCs w:val="30"/>
          <w:shd w:val="clear" w:fill="FFFFFF"/>
        </w:rPr>
        <w:t>基本支出：指为保障机构正常运转、完成日常工作任务而发生的各项支出，包括人员支出和公用支出。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sans-serif" w:hAnsi="sans-serif" w:cs="sans-serif"/>
          <w:i w:val="0"/>
          <w:iCs w:val="0"/>
          <w:caps w:val="0"/>
          <w:color w:val="333333"/>
          <w:spacing w:val="0"/>
          <w:sz w:val="21"/>
          <w:szCs w:val="21"/>
        </w:rPr>
      </w:pPr>
      <w:r>
        <w:rPr>
          <w:rFonts w:hint="eastAsia" w:ascii="宋体" w:hAnsi="宋体" w:eastAsia="宋体" w:cs="宋体"/>
          <w:i w:val="0"/>
          <w:iCs w:val="0"/>
          <w:caps w:val="0"/>
          <w:color w:val="000000"/>
          <w:spacing w:val="0"/>
          <w:sz w:val="30"/>
          <w:szCs w:val="30"/>
          <w:shd w:val="clear" w:fill="FFFFFF"/>
          <w:lang w:val="en-US" w:eastAsia="zh-CN"/>
        </w:rPr>
        <w:t>二、</w:t>
      </w:r>
      <w:r>
        <w:rPr>
          <w:rFonts w:hint="eastAsia" w:ascii="宋体" w:hAnsi="宋体" w:eastAsia="宋体" w:cs="宋体"/>
          <w:i w:val="0"/>
          <w:iCs w:val="0"/>
          <w:caps w:val="0"/>
          <w:color w:val="000000"/>
          <w:spacing w:val="0"/>
          <w:sz w:val="30"/>
          <w:szCs w:val="30"/>
          <w:shd w:val="clear" w:fill="FFFFFF"/>
        </w:rPr>
        <w:t>项目支出：指在基本支出以外为完成相关执行任务和事业发展目标所发生的各项支出。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sans-serif" w:hAnsi="sans-serif" w:cs="sans-serif"/>
          <w:i w:val="0"/>
          <w:iCs w:val="0"/>
          <w:caps w:val="0"/>
          <w:color w:val="333333"/>
          <w:spacing w:val="0"/>
          <w:sz w:val="21"/>
          <w:szCs w:val="21"/>
        </w:rPr>
      </w:pPr>
      <w:r>
        <w:rPr>
          <w:rFonts w:hint="eastAsia" w:ascii="宋体" w:hAnsi="宋体" w:eastAsia="宋体" w:cs="宋体"/>
          <w:i w:val="0"/>
          <w:iCs w:val="0"/>
          <w:caps w:val="0"/>
          <w:color w:val="000000"/>
          <w:spacing w:val="0"/>
          <w:sz w:val="30"/>
          <w:szCs w:val="30"/>
          <w:shd w:val="clear" w:fill="FFFFFF"/>
          <w:lang w:val="en-US" w:eastAsia="zh-CN"/>
        </w:rPr>
        <w:t>三、</w:t>
      </w:r>
      <w:r>
        <w:rPr>
          <w:rFonts w:hint="eastAsia" w:ascii="宋体" w:hAnsi="宋体" w:eastAsia="宋体" w:cs="宋体"/>
          <w:i w:val="0"/>
          <w:iCs w:val="0"/>
          <w:caps w:val="0"/>
          <w:color w:val="000000"/>
          <w:spacing w:val="0"/>
          <w:sz w:val="30"/>
          <w:szCs w:val="30"/>
          <w:shd w:val="clear" w:fill="FFFFFF"/>
        </w:rPr>
        <w:t>“三公”经费：指通过财政拨款资金安排的因公出国（境）费、公务用车购置及运行费和公务接待费支出。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sans-serif" w:hAnsi="sans-serif" w:cs="sans-serif"/>
          <w:i w:val="0"/>
          <w:iCs w:val="0"/>
          <w:caps w:val="0"/>
          <w:color w:val="333333"/>
          <w:spacing w:val="0"/>
          <w:sz w:val="21"/>
          <w:szCs w:val="21"/>
        </w:rPr>
      </w:pPr>
      <w:r>
        <w:rPr>
          <w:rFonts w:hint="eastAsia" w:ascii="宋体" w:hAnsi="宋体" w:eastAsia="宋体" w:cs="宋体"/>
          <w:i w:val="0"/>
          <w:iCs w:val="0"/>
          <w:caps w:val="0"/>
          <w:color w:val="000000"/>
          <w:spacing w:val="0"/>
          <w:sz w:val="30"/>
          <w:szCs w:val="30"/>
          <w:shd w:val="clear" w:fill="FFFFFF"/>
        </w:rPr>
        <w:t>四</w:t>
      </w:r>
      <w:r>
        <w:rPr>
          <w:rFonts w:hint="eastAsia" w:ascii="宋体" w:hAnsi="宋体" w:eastAsia="宋体" w:cs="宋体"/>
          <w:i w:val="0"/>
          <w:iCs w:val="0"/>
          <w:caps w:val="0"/>
          <w:color w:val="000000"/>
          <w:spacing w:val="0"/>
          <w:sz w:val="30"/>
          <w:szCs w:val="30"/>
          <w:shd w:val="clear" w:fill="FFFFFF"/>
          <w:lang w:eastAsia="zh-CN"/>
        </w:rPr>
        <w:t>、</w:t>
      </w:r>
      <w:r>
        <w:rPr>
          <w:rFonts w:hint="eastAsia" w:ascii="宋体" w:hAnsi="宋体" w:eastAsia="宋体" w:cs="宋体"/>
          <w:i w:val="0"/>
          <w:iCs w:val="0"/>
          <w:caps w:val="0"/>
          <w:color w:val="000000"/>
          <w:spacing w:val="0"/>
          <w:sz w:val="30"/>
          <w:szCs w:val="30"/>
          <w:shd w:val="clear" w:fill="FFFFFF"/>
        </w:rPr>
        <w:t>机关运行经费：是指各部门的公用经费，包括办公费、印刷费、邮电费、差旅费、会议费、福利费、日常维修费、专用材料及一般设备购置费、办公用房水电费、办公用房取暖费、办公用房物业管理费、公务用车运行维护费以及其他费用。</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both"/>
        <w:rPr>
          <w:sz w:val="72"/>
          <w:szCs w:val="72"/>
        </w:rPr>
      </w:pPr>
    </w:p>
    <w:p>
      <w:pPr>
        <w:pStyle w:val="12"/>
        <w:jc w:val="center"/>
        <w:rPr>
          <w:sz w:val="84"/>
          <w:szCs w:val="84"/>
        </w:rPr>
      </w:pPr>
    </w:p>
    <w:p>
      <w:pPr>
        <w:pStyle w:val="12"/>
        <w:jc w:val="center"/>
        <w:rPr>
          <w:sz w:val="84"/>
          <w:szCs w:val="84"/>
        </w:rPr>
      </w:pPr>
      <w:r>
        <w:rPr>
          <w:rFonts w:hint="eastAsia"/>
          <w:sz w:val="84"/>
          <w:szCs w:val="84"/>
        </w:rPr>
        <w:t>第五部分</w:t>
      </w:r>
    </w:p>
    <w:p>
      <w:pPr>
        <w:jc w:val="center"/>
        <w:rPr>
          <w:rFonts w:ascii="黑体" w:eastAsia="黑体" w:cs="黑体"/>
          <w:color w:val="000000"/>
          <w:kern w:val="0"/>
          <w:sz w:val="84"/>
          <w:szCs w:val="84"/>
        </w:rPr>
      </w:pPr>
    </w:p>
    <w:p>
      <w:pPr>
        <w:jc w:val="center"/>
        <w:rPr>
          <w:rFonts w:hint="eastAsia" w:ascii="黑体" w:eastAsia="黑体" w:cs="黑体"/>
          <w:color w:val="000000"/>
          <w:kern w:val="0"/>
          <w:sz w:val="84"/>
          <w:szCs w:val="84"/>
        </w:rPr>
      </w:pPr>
      <w:r>
        <w:rPr>
          <w:rFonts w:hint="eastAsia" w:ascii="黑体" w:eastAsia="黑体" w:cs="黑体"/>
          <w:color w:val="000000"/>
          <w:kern w:val="0"/>
          <w:sz w:val="84"/>
          <w:szCs w:val="84"/>
        </w:rPr>
        <w:t>附件</w:t>
      </w:r>
    </w:p>
    <w:p>
      <w:pPr>
        <w:jc w:val="center"/>
        <w:rPr>
          <w:rFonts w:hint="eastAsia" w:ascii="黑体" w:eastAsia="黑体" w:cs="黑体"/>
          <w:color w:val="000000"/>
          <w:kern w:val="0"/>
          <w:sz w:val="70"/>
          <w:szCs w:val="70"/>
        </w:rPr>
      </w:pPr>
    </w:p>
    <w:p>
      <w:pPr>
        <w:ind w:firstLine="1400" w:firstLineChars="200"/>
        <w:jc w:val="both"/>
        <w:rPr>
          <w:rFonts w:hint="eastAsia" w:ascii="黑体" w:eastAsia="黑体" w:cs="黑体"/>
          <w:color w:val="000000"/>
          <w:kern w:val="0"/>
          <w:sz w:val="70"/>
          <w:szCs w:val="70"/>
        </w:rPr>
      </w:pPr>
    </w:p>
    <w:p>
      <w:pPr>
        <w:ind w:firstLine="640" w:firstLineChars="200"/>
        <w:jc w:val="both"/>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eastAsiaTheme="minorEastAsia"/>
          <w:color w:val="000000"/>
          <w:kern w:val="0"/>
          <w:sz w:val="32"/>
          <w:szCs w:val="32"/>
          <w:lang w:eastAsia="zh-CN"/>
        </w:rPr>
        <w:t>永州市工业和信息化局202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eastAsiaTheme="minorEastAsia"/>
          <w:color w:val="000000"/>
          <w:kern w:val="0"/>
          <w:sz w:val="32"/>
          <w:szCs w:val="32"/>
          <w:lang w:eastAsia="zh-CN"/>
        </w:rPr>
        <w:t>年度部门决算</w:t>
      </w:r>
      <w:r>
        <w:rPr>
          <w:rFonts w:hint="eastAsia" w:cs="黑体" w:asciiTheme="minorEastAsia" w:hAnsiTheme="minorEastAsia"/>
          <w:color w:val="000000"/>
          <w:kern w:val="0"/>
          <w:sz w:val="32"/>
          <w:szCs w:val="32"/>
          <w:lang w:val="en-US" w:eastAsia="zh-CN"/>
        </w:rPr>
        <w:t>公开</w:t>
      </w:r>
      <w:r>
        <w:rPr>
          <w:rFonts w:hint="eastAsia" w:cs="黑体" w:asciiTheme="minorEastAsia" w:hAnsiTheme="minorEastAsia" w:eastAsiaTheme="minorEastAsia"/>
          <w:color w:val="000000"/>
          <w:kern w:val="0"/>
          <w:sz w:val="32"/>
          <w:szCs w:val="32"/>
          <w:lang w:eastAsia="zh-CN"/>
        </w:rPr>
        <w:t>报表</w:t>
      </w:r>
    </w:p>
    <w:p>
      <w:pPr>
        <w:ind w:firstLine="640" w:firstLineChars="200"/>
        <w:jc w:val="left"/>
        <w:rPr>
          <w:rFonts w:hint="eastAsia" w:cs="黑体" w:asciiTheme="minorEastAsia" w:hAnsiTheme="minorEastAsia" w:eastAsiaTheme="minorEastAsia"/>
          <w:color w:val="000000"/>
          <w:kern w:val="0"/>
          <w:sz w:val="32"/>
          <w:szCs w:val="32"/>
          <w:lang w:eastAsia="zh-CN"/>
        </w:rPr>
      </w:pPr>
    </w:p>
    <w:sectPr>
      <w:pgSz w:w="11906" w:h="16838"/>
      <w:pgMar w:top="1417" w:right="1701" w:bottom="1417"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BD005"/>
    <w:multiLevelType w:val="singleLevel"/>
    <w:tmpl w:val="CE0BD0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YWVmZGNmZjk5ZDg0NGE1ZmQzODk2YzRiMGFjNzMifQ=="/>
  </w:docVars>
  <w:rsids>
    <w:rsidRoot w:val="004506F9"/>
    <w:rsid w:val="0002229B"/>
    <w:rsid w:val="000273BD"/>
    <w:rsid w:val="000415B7"/>
    <w:rsid w:val="00041E3F"/>
    <w:rsid w:val="00055DAA"/>
    <w:rsid w:val="00061F7B"/>
    <w:rsid w:val="00062DE2"/>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3E77268"/>
    <w:rsid w:val="09D63CF1"/>
    <w:rsid w:val="0F6F619D"/>
    <w:rsid w:val="11A40FF9"/>
    <w:rsid w:val="18097A97"/>
    <w:rsid w:val="19A34DE4"/>
    <w:rsid w:val="2A201CDA"/>
    <w:rsid w:val="2EE728F8"/>
    <w:rsid w:val="32084BCF"/>
    <w:rsid w:val="33455C5C"/>
    <w:rsid w:val="356E050A"/>
    <w:rsid w:val="3D7B651A"/>
    <w:rsid w:val="3FD024DC"/>
    <w:rsid w:val="401373D3"/>
    <w:rsid w:val="4AB95F10"/>
    <w:rsid w:val="4E085897"/>
    <w:rsid w:val="4EA11E23"/>
    <w:rsid w:val="52966066"/>
    <w:rsid w:val="5B3462ED"/>
    <w:rsid w:val="5E4C36FB"/>
    <w:rsid w:val="65053093"/>
    <w:rsid w:val="6A923043"/>
    <w:rsid w:val="6AB61DBB"/>
    <w:rsid w:val="6C404070"/>
    <w:rsid w:val="730D62B6"/>
    <w:rsid w:val="74132FD3"/>
    <w:rsid w:val="7ACA2123"/>
    <w:rsid w:val="7B2961E9"/>
    <w:rsid w:val="7F6C6233"/>
    <w:rsid w:val="7F96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200" w:firstLineChars="200"/>
    </w:pPr>
  </w:style>
  <w:style w:type="paragraph" w:customStyle="1" w:styleId="3">
    <w:name w:val="BodyTextIndent"/>
    <w:basedOn w:val="1"/>
    <w:qFormat/>
    <w:uiPriority w:val="0"/>
    <w:pPr>
      <w:spacing w:after="120"/>
      <w:ind w:left="20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paragraph" w:customStyle="1" w:styleId="15">
    <w:name w:val="Body Text1"/>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8987</Words>
  <Characters>9844</Characters>
  <Lines>62</Lines>
  <Paragraphs>17</Paragraphs>
  <TotalTime>26</TotalTime>
  <ScaleCrop>false</ScaleCrop>
  <LinksUpToDate>false</LinksUpToDate>
  <CharactersWithSpaces>9857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长安长安</cp:lastModifiedBy>
  <cp:lastPrinted>2022-07-20T01:06:32Z</cp:lastPrinted>
  <dcterms:modified xsi:type="dcterms:W3CDTF">2022-07-20T01:25:58Z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A869F1A344B643B8B6A36F0BB409198F</vt:lpwstr>
  </property>
</Properties>
</file>