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rPr>
        <w:t>永州市农业科学研究所</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第一部分永州市农业科学研究所单位概况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永州市农业科学研究所</w:t>
      </w:r>
    </w:p>
    <w:p>
      <w:pPr>
        <w:pStyle w:val="9"/>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rFonts w:hint="eastAsia"/>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jc w:val="left"/>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部门职责</w:t>
      </w:r>
    </w:p>
    <w:p>
      <w:pPr>
        <w:spacing w:line="360" w:lineRule="auto"/>
        <w:ind w:firstLine="800" w:firstLineChars="250"/>
        <w:rPr>
          <w:rFonts w:asciiTheme="minorEastAsia" w:hAnsiTheme="minorEastAsia"/>
          <w:sz w:val="32"/>
          <w:szCs w:val="32"/>
        </w:rPr>
      </w:pPr>
      <w:r>
        <w:rPr>
          <w:rFonts w:hint="eastAsia" w:asciiTheme="minorEastAsia" w:hAnsiTheme="minorEastAsia"/>
          <w:sz w:val="32"/>
          <w:szCs w:val="32"/>
        </w:rPr>
        <w:t>我所以开展农业科学研究，服务“三农”，促进农业和农村经济发展为宗旨，主要工作职责为开展农作物（主要是水稻、烤烟、油菜、玉米等）新品种的引进、选育，栽培技术、病虫害防治等科学研究及配套新技术、新成果的试验、示范和推广。</w:t>
      </w:r>
    </w:p>
    <w:p>
      <w:pPr>
        <w:spacing w:line="360" w:lineRule="auto"/>
        <w:ind w:firstLine="800" w:firstLineChars="250"/>
        <w:rPr>
          <w:rFonts w:asciiTheme="minorEastAsia" w:hAnsiTheme="minorEastAsia"/>
          <w:sz w:val="32"/>
          <w:szCs w:val="32"/>
        </w:rPr>
      </w:pPr>
      <w:r>
        <w:rPr>
          <w:rFonts w:hint="eastAsia" w:asciiTheme="minorEastAsia" w:hAnsiTheme="minorEastAsia"/>
          <w:sz w:val="32"/>
          <w:szCs w:val="32"/>
        </w:rPr>
        <w:t>1、参与国家、省（部）职能部门或委托单位的课题研究和代制优良品种，并主持在本市的试验和生产；</w:t>
      </w:r>
    </w:p>
    <w:p>
      <w:pPr>
        <w:spacing w:line="360" w:lineRule="auto"/>
        <w:ind w:firstLine="800" w:firstLineChars="250"/>
        <w:rPr>
          <w:rFonts w:asciiTheme="minorEastAsia" w:hAnsiTheme="minorEastAsia"/>
          <w:sz w:val="32"/>
          <w:szCs w:val="32"/>
        </w:rPr>
      </w:pPr>
      <w:r>
        <w:rPr>
          <w:rFonts w:hint="eastAsia" w:asciiTheme="minorEastAsia" w:hAnsiTheme="minorEastAsia"/>
          <w:sz w:val="32"/>
          <w:szCs w:val="32"/>
        </w:rPr>
        <w:t>2、承接上级业务主管部门以外各横向课题的研究，并主持该课题在本市的试验项目；</w:t>
      </w:r>
    </w:p>
    <w:p>
      <w:pPr>
        <w:spacing w:line="360" w:lineRule="auto"/>
        <w:ind w:firstLine="800" w:firstLineChars="250"/>
        <w:rPr>
          <w:rFonts w:asciiTheme="minorEastAsia" w:hAnsiTheme="minorEastAsia"/>
          <w:sz w:val="32"/>
          <w:szCs w:val="32"/>
        </w:rPr>
      </w:pPr>
      <w:r>
        <w:rPr>
          <w:rFonts w:hint="eastAsia" w:asciiTheme="minorEastAsia" w:hAnsiTheme="minorEastAsia"/>
          <w:sz w:val="32"/>
          <w:szCs w:val="32"/>
        </w:rPr>
        <w:t>3、直接参与或主持市政府的重点农业科研课题；</w:t>
      </w:r>
    </w:p>
    <w:p>
      <w:pPr>
        <w:spacing w:line="360" w:lineRule="auto"/>
        <w:ind w:firstLine="800" w:firstLineChars="250"/>
        <w:rPr>
          <w:rFonts w:asciiTheme="minorEastAsia" w:hAnsiTheme="minorEastAsia"/>
          <w:sz w:val="32"/>
          <w:szCs w:val="32"/>
        </w:rPr>
      </w:pPr>
      <w:r>
        <w:rPr>
          <w:rFonts w:hint="eastAsia" w:asciiTheme="minorEastAsia" w:hAnsiTheme="minorEastAsia"/>
          <w:sz w:val="32"/>
          <w:szCs w:val="32"/>
        </w:rPr>
        <w:t>4、在业务主管部门指导下，开展自选课题研究；</w:t>
      </w:r>
    </w:p>
    <w:p>
      <w:pPr>
        <w:spacing w:line="360" w:lineRule="auto"/>
        <w:ind w:firstLine="800" w:firstLineChars="250"/>
        <w:rPr>
          <w:rFonts w:asciiTheme="minorEastAsia" w:hAnsiTheme="minorEastAsia"/>
          <w:sz w:val="32"/>
          <w:szCs w:val="32"/>
        </w:rPr>
      </w:pPr>
      <w:r>
        <w:rPr>
          <w:rFonts w:hint="eastAsia" w:asciiTheme="minorEastAsia" w:hAnsiTheme="minorEastAsia"/>
          <w:sz w:val="32"/>
          <w:szCs w:val="32"/>
        </w:rPr>
        <w:t>5、参与全市农业和农村经济发展规划的调查研究，作好咨询工作；</w:t>
      </w:r>
    </w:p>
    <w:p>
      <w:pPr>
        <w:spacing w:line="360" w:lineRule="auto"/>
        <w:ind w:firstLine="800" w:firstLineChars="250"/>
        <w:rPr>
          <w:rFonts w:asciiTheme="minorEastAsia" w:hAnsiTheme="minorEastAsia"/>
          <w:sz w:val="32"/>
          <w:szCs w:val="32"/>
        </w:rPr>
      </w:pPr>
      <w:r>
        <w:rPr>
          <w:rFonts w:hint="eastAsia" w:asciiTheme="minorEastAsia" w:hAnsiTheme="minorEastAsia"/>
          <w:sz w:val="32"/>
          <w:szCs w:val="32"/>
        </w:rPr>
        <w:t>6、培育选育、引进新品种在全市示范推广，创办高效农业示范点；</w:t>
      </w:r>
    </w:p>
    <w:p>
      <w:pPr>
        <w:spacing w:line="360" w:lineRule="auto"/>
        <w:ind w:firstLine="800" w:firstLineChars="250"/>
        <w:rPr>
          <w:rFonts w:asciiTheme="minorEastAsia" w:hAnsiTheme="minorEastAsia"/>
          <w:sz w:val="32"/>
          <w:szCs w:val="32"/>
        </w:rPr>
      </w:pPr>
      <w:r>
        <w:rPr>
          <w:rFonts w:hint="eastAsia" w:asciiTheme="minorEastAsia" w:hAnsiTheme="minorEastAsia"/>
          <w:sz w:val="32"/>
          <w:szCs w:val="32"/>
        </w:rPr>
        <w:t>7、承办市委、市政府和主管部门交办的其它事项。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360" w:lineRule="auto"/>
        <w:ind w:firstLine="800" w:firstLineChars="250"/>
        <w:rPr>
          <w:rFonts w:asciiTheme="minorEastAsia" w:hAnsiTheme="minorEastAsia"/>
          <w:sz w:val="32"/>
          <w:szCs w:val="32"/>
        </w:rPr>
      </w:pPr>
      <w:r>
        <w:rPr>
          <w:rFonts w:hint="eastAsia" w:asciiTheme="minorEastAsia" w:hAnsiTheme="minorEastAsia"/>
          <w:sz w:val="32"/>
          <w:szCs w:val="32"/>
        </w:rPr>
        <w:t>（一）内设机构设置。永州市农业科学研究所是我市唯一的正处级公益性、综合性农业科研事业单位，永州市农业科学研究所单位内设机构包括：行政科室</w:t>
      </w:r>
      <w:r>
        <w:rPr>
          <w:rFonts w:asciiTheme="minorEastAsia" w:hAnsiTheme="minorEastAsia"/>
          <w:sz w:val="32"/>
          <w:szCs w:val="32"/>
        </w:rPr>
        <w:t>5</w:t>
      </w:r>
      <w:r>
        <w:rPr>
          <w:rFonts w:hint="eastAsia" w:asciiTheme="minorEastAsia" w:hAnsiTheme="minorEastAsia"/>
          <w:sz w:val="32"/>
          <w:szCs w:val="32"/>
        </w:rPr>
        <w:t>个，即办公室、科技科、政工科、计财科、工会；科研科室5个，即水稻育种研究室、农作物栽培研究室、果蔬研究室、烤烟研究室、旱粮作物研究室。单位核定编制数</w:t>
      </w:r>
      <w:r>
        <w:rPr>
          <w:rFonts w:asciiTheme="minorEastAsia" w:hAnsiTheme="minorEastAsia"/>
          <w:sz w:val="32"/>
          <w:szCs w:val="32"/>
        </w:rPr>
        <w:t>89</w:t>
      </w:r>
      <w:r>
        <w:rPr>
          <w:rFonts w:hint="eastAsia" w:asciiTheme="minorEastAsia" w:hAnsiTheme="minorEastAsia"/>
          <w:sz w:val="32"/>
          <w:szCs w:val="32"/>
        </w:rPr>
        <w:t>人，其中全额拨款为</w:t>
      </w:r>
      <w:r>
        <w:rPr>
          <w:rFonts w:asciiTheme="minorEastAsia" w:hAnsiTheme="minorEastAsia"/>
          <w:sz w:val="32"/>
          <w:szCs w:val="32"/>
        </w:rPr>
        <w:t>70</w:t>
      </w:r>
      <w:r>
        <w:rPr>
          <w:rFonts w:hint="eastAsia" w:asciiTheme="minorEastAsia" w:hAnsiTheme="minorEastAsia"/>
          <w:sz w:val="32"/>
          <w:szCs w:val="32"/>
        </w:rPr>
        <w:t>人，差额拨款</w:t>
      </w:r>
      <w:r>
        <w:rPr>
          <w:rFonts w:asciiTheme="minorEastAsia" w:hAnsiTheme="minorEastAsia"/>
          <w:sz w:val="32"/>
          <w:szCs w:val="32"/>
        </w:rPr>
        <w:t>19</w:t>
      </w:r>
      <w:r>
        <w:rPr>
          <w:rFonts w:hint="eastAsia" w:asciiTheme="minorEastAsia" w:hAnsiTheme="minorEastAsia"/>
          <w:sz w:val="32"/>
          <w:szCs w:val="32"/>
        </w:rPr>
        <w:t>人。部门实有人数194人，其中在职人员74人（含聘请人员3人），退休人员120人。</w:t>
      </w:r>
    </w:p>
    <w:p>
      <w:pPr>
        <w:spacing w:line="360" w:lineRule="auto"/>
        <w:ind w:firstLine="800" w:firstLineChars="250"/>
        <w:rPr>
          <w:rFonts w:asciiTheme="minorEastAsia" w:hAnsiTheme="minorEastAsia"/>
          <w:sz w:val="32"/>
          <w:szCs w:val="32"/>
        </w:rPr>
      </w:pPr>
      <w:r>
        <w:rPr>
          <w:rFonts w:hint="eastAsia" w:asciiTheme="minorEastAsia" w:hAnsiTheme="minorEastAsia"/>
          <w:sz w:val="32"/>
          <w:szCs w:val="32"/>
        </w:rPr>
        <w:t>（二）决算单位构成。永州市农业科学研究所</w:t>
      </w:r>
      <w:r>
        <w:rPr>
          <w:rFonts w:asciiTheme="minorEastAsia" w:hAnsiTheme="minorEastAsia"/>
          <w:sz w:val="32"/>
          <w:szCs w:val="32"/>
        </w:rPr>
        <w:t>20</w:t>
      </w:r>
      <w:r>
        <w:rPr>
          <w:rFonts w:hint="eastAsia" w:asciiTheme="minorEastAsia" w:hAnsiTheme="minorEastAsia"/>
          <w:sz w:val="32"/>
          <w:szCs w:val="32"/>
        </w:rPr>
        <w:t>20年部门决算汇总公开单位构成包括：永州市农业科学研究所单位本级。</w:t>
      </w:r>
    </w:p>
    <w:p>
      <w:pPr>
        <w:jc w:val="center"/>
        <w:rPr>
          <w:sz w:val="72"/>
          <w:szCs w:val="72"/>
        </w:rPr>
      </w:pPr>
    </w:p>
    <w:p>
      <w:pPr>
        <w:jc w:val="center"/>
        <w:rPr>
          <w:sz w:val="72"/>
          <w:szCs w:val="72"/>
        </w:rPr>
      </w:pPr>
    </w:p>
    <w:p>
      <w:pPr>
        <w:jc w:val="center"/>
        <w:rPr>
          <w:sz w:val="72"/>
          <w:szCs w:val="72"/>
        </w:rPr>
      </w:pPr>
    </w:p>
    <w:p>
      <w:pPr>
        <w:jc w:val="center"/>
        <w:rPr>
          <w:rFonts w:hint="eastAsia"/>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ascii="仿宋_GB2312" w:hAnsi="仿宋_GB2312" w:eastAsia="仿宋_GB2312" w:cs="仿宋_GB2312"/>
          <w:sz w:val="36"/>
          <w:szCs w:val="36"/>
        </w:rPr>
        <w:t>（详见附表）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rPr>
          <w:rFonts w:hint="eastAsia"/>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入总计1626.62万元，其中，本年收入合计数1267.52万元，上年非财政拨款结余359.1万元。与上年相比，减少350.82万元，减少18%，主要是因为事业收入的减少；支出总计1626.62万元，其中，本年支出合计数1572.88万元，年末财政拨款结转和结余53.74万元。与上年相比，减少45.46万元，减少3%，主要是因为厉行节约，节俭开支。</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1626.62万元，其中：财政拨款收入1267.52万元，占78%；上级补助收入0万元，占0%；事业收入0万元，占0%；经营收入0万元，占0%；附属单位上缴收入0万元，占0%；其他收入0万元，占0%；上年非财政拨款结余359.1万元，占22%。</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本年支出合计1572.88万元，</w:t>
      </w:r>
      <w:r>
        <w:rPr>
          <w:rFonts w:asciiTheme="minorEastAsia" w:hAnsiTheme="minorEastAsia" w:eastAsiaTheme="minorEastAsia"/>
          <w:sz w:val="32"/>
          <w:szCs w:val="32"/>
        </w:rPr>
        <w:t>年末财政拨款结转和结余</w:t>
      </w:r>
      <w:r>
        <w:rPr>
          <w:rFonts w:hint="eastAsia" w:asciiTheme="minorEastAsia" w:hAnsiTheme="minorEastAsia" w:eastAsiaTheme="minorEastAsia"/>
          <w:sz w:val="32"/>
          <w:szCs w:val="32"/>
        </w:rPr>
        <w:t>53.74万元。其中：基本支出1180.72万元，占75%；项目支出392.16万元，占25%；上缴上级支出0万元，占0%；经营支出0万元，占0%；对附属单位补助支出0万元，占0%。</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入总计1267.52万元。与上年相比，增加33.42万元,增长3%，主要是因为机构运行经费的增加；支出总计1267.52万元，其中，本年支出合计数1213.78万元，年末财政拨款结转和结余53.74万元。与上年相比，减少20.32万元,减少2%，主要是因为厉行节约，节俭开支。</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2020年度财政拨款支出1213.78万元，占本年支出合计的77%，与上年相比，财政拨款支出减少20.32万元，减少2%，主要是因为厉行节约，节俭开支。</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2020年度财政拨款支出1213.78万元，主要用于以下方面：一般公共服务（类）支出0万元，占0%；教育（类）支出0万元，占0%；科学技术（类）支出1213.78万元，占100%。</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2020年度财政拨款支出年初预算数为955.12万元，支出决算数为1267.52万元，完成年初预算的133%，其中：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asciiTheme="minorEastAsia" w:hAnsiTheme="minorEastAsia" w:eastAsiaTheme="minorEastAsia"/>
          <w:sz w:val="32"/>
          <w:szCs w:val="32"/>
        </w:rPr>
        <w:t>科学技术（类）应用研究（款）机构运行支出（项）</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年初预算为955.12万元，</w:t>
      </w:r>
      <w:r>
        <w:rPr>
          <w:rFonts w:asciiTheme="minorEastAsia" w:hAnsiTheme="minorEastAsia" w:eastAsiaTheme="minorEastAsia"/>
          <w:sz w:val="32"/>
          <w:szCs w:val="32"/>
        </w:rPr>
        <w:t>其中工资福利支出预算</w:t>
      </w:r>
      <w:r>
        <w:rPr>
          <w:rFonts w:hint="eastAsia" w:asciiTheme="minorEastAsia" w:hAnsiTheme="minorEastAsia" w:eastAsiaTheme="minorEastAsia"/>
          <w:sz w:val="32"/>
          <w:szCs w:val="32"/>
        </w:rPr>
        <w:t>832.88</w:t>
      </w:r>
      <w:r>
        <w:rPr>
          <w:rFonts w:asciiTheme="minorEastAsia" w:hAnsiTheme="minorEastAsia" w:eastAsiaTheme="minorEastAsia"/>
          <w:sz w:val="32"/>
          <w:szCs w:val="32"/>
        </w:rPr>
        <w:t>万元，一般商品和服务支出和服务支出预算</w:t>
      </w:r>
      <w:r>
        <w:rPr>
          <w:rFonts w:hint="eastAsia" w:asciiTheme="minorEastAsia" w:hAnsiTheme="minorEastAsia" w:eastAsiaTheme="minorEastAsia"/>
          <w:sz w:val="32"/>
          <w:szCs w:val="32"/>
        </w:rPr>
        <w:t>122.24</w:t>
      </w:r>
      <w:r>
        <w:rPr>
          <w:rFonts w:asciiTheme="minorEastAsia" w:hAnsiTheme="minorEastAsia" w:eastAsiaTheme="minorEastAsia"/>
          <w:sz w:val="32"/>
          <w:szCs w:val="32"/>
        </w:rPr>
        <w:t>万元。</w:t>
      </w:r>
      <w:r>
        <w:rPr>
          <w:rFonts w:hint="eastAsia" w:asciiTheme="minorEastAsia" w:hAnsiTheme="minorEastAsia" w:eastAsiaTheme="minorEastAsia"/>
          <w:sz w:val="32"/>
          <w:szCs w:val="32"/>
        </w:rPr>
        <w:t>支出决算为1063.49万元，完成年初预算的111%，</w:t>
      </w:r>
      <w:r>
        <w:rPr>
          <w:rFonts w:asciiTheme="minorEastAsia" w:hAnsiTheme="minorEastAsia" w:eastAsiaTheme="minorEastAsia"/>
          <w:sz w:val="32"/>
          <w:szCs w:val="32"/>
        </w:rPr>
        <w:t>其中人员经费支出976.05万元（其中工资福利支出</w:t>
      </w:r>
      <w:r>
        <w:rPr>
          <w:rFonts w:hint="eastAsia" w:asciiTheme="minorEastAsia" w:hAnsiTheme="minorEastAsia" w:eastAsiaTheme="minorEastAsia"/>
          <w:sz w:val="32"/>
          <w:szCs w:val="32"/>
        </w:rPr>
        <w:t>829.19</w:t>
      </w:r>
      <w:r>
        <w:rPr>
          <w:rFonts w:asciiTheme="minorEastAsia" w:hAnsiTheme="minorEastAsia" w:eastAsiaTheme="minorEastAsia"/>
          <w:sz w:val="32"/>
          <w:szCs w:val="32"/>
        </w:rPr>
        <w:t xml:space="preserve"> 万元，对个人和家庭的补助支出</w:t>
      </w:r>
      <w:r>
        <w:rPr>
          <w:rFonts w:hint="eastAsia" w:asciiTheme="minorEastAsia" w:hAnsiTheme="minorEastAsia" w:eastAsiaTheme="minorEastAsia"/>
          <w:sz w:val="32"/>
          <w:szCs w:val="32"/>
        </w:rPr>
        <w:t>64.5</w:t>
      </w:r>
      <w:r>
        <w:rPr>
          <w:rFonts w:asciiTheme="minorEastAsia" w:hAnsiTheme="minorEastAsia" w:eastAsiaTheme="minorEastAsia"/>
          <w:sz w:val="32"/>
          <w:szCs w:val="32"/>
        </w:rPr>
        <w:t>万元），公用经费支出</w:t>
      </w:r>
      <w:r>
        <w:rPr>
          <w:rFonts w:hint="eastAsia" w:asciiTheme="minorEastAsia" w:hAnsiTheme="minorEastAsia" w:eastAsiaTheme="minorEastAsia"/>
          <w:sz w:val="32"/>
          <w:szCs w:val="32"/>
        </w:rPr>
        <w:t>169.79</w:t>
      </w:r>
      <w:r>
        <w:rPr>
          <w:rFonts w:asciiTheme="minorEastAsia" w:hAnsiTheme="minorEastAsia" w:eastAsiaTheme="minorEastAsia"/>
          <w:sz w:val="32"/>
          <w:szCs w:val="32"/>
        </w:rPr>
        <w:t>万元（其中商品和服务支出</w:t>
      </w:r>
      <w:r>
        <w:rPr>
          <w:rFonts w:hint="eastAsia" w:asciiTheme="minorEastAsia" w:hAnsiTheme="minorEastAsia" w:eastAsiaTheme="minorEastAsia"/>
          <w:sz w:val="32"/>
          <w:szCs w:val="32"/>
        </w:rPr>
        <w:t>169.79</w:t>
      </w:r>
      <w:r>
        <w:rPr>
          <w:rFonts w:asciiTheme="minorEastAsia" w:hAnsiTheme="minorEastAsia" w:eastAsiaTheme="minorEastAsia"/>
          <w:sz w:val="32"/>
          <w:szCs w:val="32"/>
        </w:rPr>
        <w:t>万元）。</w:t>
      </w:r>
      <w:r>
        <w:rPr>
          <w:rFonts w:hint="eastAsia" w:asciiTheme="minorEastAsia" w:hAnsiTheme="minorEastAsia" w:eastAsiaTheme="minorEastAsia"/>
          <w:sz w:val="32"/>
          <w:szCs w:val="32"/>
        </w:rPr>
        <w:t>决算数大于年初预算数的主要原因是：一是职工社会保险缴费支出未列入年初预算中，二是工会经费支出、扶贫专项支出、党建经费支出的增加。</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asciiTheme="minorEastAsia" w:hAnsiTheme="minorEastAsia" w:eastAsiaTheme="minorEastAsia"/>
          <w:sz w:val="32"/>
          <w:szCs w:val="32"/>
        </w:rPr>
        <w:t>科学技术（类）应用研究（款）高技术研究支出（项）</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年初预算为0万元，支出决算为150.29万元，完成年初预算的0%，其中商品和服务支出150.29万元。决算数大于年初预算数的主要原因是：部分非市本级项目的商品和服务支出被列入其中。</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2020年度财政拨款基本支出1063.49万元，其中：人员经费976.05万元，占基本支出的92%,主要包括基本工资、奖金、伙食补助费</w:t>
      </w:r>
      <w:r>
        <w:rPr>
          <w:rFonts w:asciiTheme="minorEastAsia" w:hAnsiTheme="minorEastAsia" w:eastAsiaTheme="minorEastAsia"/>
          <w:sz w:val="32"/>
          <w:szCs w:val="32"/>
        </w:rPr>
        <w:t>、绩效工资、机关事业单位基本养老保险缴费、职业年金缴费、职工基本医疗保险缴费、其他社会保障缴费、住房公积金、其他工资福利支出、抚恤金、生活补助、其他对个人和家庭的补助支出</w:t>
      </w:r>
      <w:r>
        <w:rPr>
          <w:rFonts w:hint="eastAsia" w:asciiTheme="minorEastAsia" w:hAnsiTheme="minorEastAsia" w:eastAsiaTheme="minorEastAsia"/>
          <w:sz w:val="32"/>
          <w:szCs w:val="32"/>
        </w:rPr>
        <w:t>；公用经费169.79万元，占基本支出的8%，主要包括办公费、印刷费、</w:t>
      </w:r>
      <w:r>
        <w:rPr>
          <w:rFonts w:asciiTheme="minorEastAsia" w:hAnsiTheme="minorEastAsia" w:eastAsiaTheme="minorEastAsia"/>
          <w:sz w:val="32"/>
          <w:szCs w:val="32"/>
        </w:rPr>
        <w:t>水电费、邮电费、差旅费、维修费、租赁费、培训费、公务接待费、专用材料费、劳务费、工会经费、公务用车运行维护费、其他交通费用、税金及附加费用、其他商品和服务支出。</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“三公”经费财政拨款支出预算为8.22万元，支出决算为8.22万元，完成预算的100%，其中：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2.22万元，支出决算为2.22万元，完成预算的100%，决算数等于预算数的主要原因是前预算申报人员对2020年三公经费预算申报失误，后进行的补充申报。与上年相比增加2.22万元，增长100%,增长的主要原因是</w:t>
      </w:r>
      <w:r>
        <w:rPr>
          <w:rFonts w:asciiTheme="minorEastAsia" w:hAnsiTheme="minorEastAsia" w:eastAsiaTheme="minorEastAsia"/>
          <w:sz w:val="32"/>
          <w:szCs w:val="32"/>
        </w:rPr>
        <w:t>前决算申报人员对</w:t>
      </w:r>
      <w:r>
        <w:rPr>
          <w:rFonts w:hint="eastAsia" w:asciiTheme="minorEastAsia" w:hAnsiTheme="minorEastAsia" w:eastAsiaTheme="minorEastAsia"/>
          <w:sz w:val="32"/>
          <w:szCs w:val="32"/>
        </w:rPr>
        <w:t>2019年</w:t>
      </w:r>
      <w:r>
        <w:rPr>
          <w:rFonts w:asciiTheme="minorEastAsia" w:hAnsiTheme="minorEastAsia" w:eastAsiaTheme="minorEastAsia"/>
          <w:sz w:val="32"/>
          <w:szCs w:val="32"/>
        </w:rPr>
        <w:t>决算软件数据录入错误，实际与上年相比减少</w:t>
      </w:r>
      <w:r>
        <w:rPr>
          <w:rFonts w:hint="eastAsia" w:asciiTheme="minorEastAsia" w:hAnsiTheme="minorEastAsia" w:eastAsiaTheme="minorEastAsia"/>
          <w:sz w:val="32"/>
          <w:szCs w:val="32"/>
        </w:rPr>
        <w:t>0.71万元。</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6万元，支出决算为6万元，完成预算的100%，决算数等于预算数的主要原因是前预算申报人员对2020年三公经费预算申报失误，后进行的补充申报。与上年相比增加4.9万元，增长445%,增长的主要原因是</w:t>
      </w:r>
      <w:r>
        <w:rPr>
          <w:rFonts w:asciiTheme="minorEastAsia" w:hAnsiTheme="minorEastAsia" w:eastAsiaTheme="minorEastAsia"/>
          <w:sz w:val="32"/>
          <w:szCs w:val="32"/>
        </w:rPr>
        <w:t>前决算申报人员对</w:t>
      </w:r>
      <w:r>
        <w:rPr>
          <w:rFonts w:hint="eastAsia" w:asciiTheme="minorEastAsia" w:hAnsiTheme="minorEastAsia" w:eastAsiaTheme="minorEastAsia"/>
          <w:sz w:val="32"/>
          <w:szCs w:val="32"/>
        </w:rPr>
        <w:t>2019年</w:t>
      </w:r>
      <w:r>
        <w:rPr>
          <w:rFonts w:asciiTheme="minorEastAsia" w:hAnsiTheme="minorEastAsia" w:eastAsiaTheme="minorEastAsia"/>
          <w:sz w:val="32"/>
          <w:szCs w:val="32"/>
        </w:rPr>
        <w:t>决算软件数据录入错误，实际与上年相比减少</w:t>
      </w:r>
      <w:r>
        <w:rPr>
          <w:rFonts w:hint="eastAsia" w:asciiTheme="minorEastAsia" w:hAnsiTheme="minorEastAsia" w:eastAsiaTheme="minorEastAsia"/>
          <w:sz w:val="32"/>
          <w:szCs w:val="32"/>
        </w:rPr>
        <w:t>7.9万元。</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2020年度“三公”经费财政拨款支出决算中，公务接待费支出决算2.22万元，占27%,因公出国（境）费支出决算0万元，占0%,公务用车购置费及运行维护费支出决算6万元，占73%。其中：</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r>
        <w:rPr>
          <w:rFonts w:asciiTheme="minorEastAsia" w:hAnsiTheme="minorEastAsia" w:eastAsiaTheme="minorEastAsia"/>
          <w:b/>
          <w:sz w:val="32"/>
          <w:szCs w:val="32"/>
        </w:rPr>
        <w:t xml:space="preserve"> </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2、公务接待费支出决算为2.22万元，全年共接待来访团组53个、来宾175人次，主要是</w:t>
      </w:r>
      <w:r>
        <w:rPr>
          <w:rFonts w:asciiTheme="minorEastAsia" w:hAnsiTheme="minorEastAsia" w:eastAsiaTheme="minorEastAsia"/>
          <w:sz w:val="32"/>
          <w:szCs w:val="32"/>
        </w:rPr>
        <w:t>科研项目、财务检查、党建指导等</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3、公务用车购置费及运行维护费支出决算为6万元，其中：公务用车购置费0万元，市农科所单位本级更新公务用车0辆。公务用车运行维护费6万元，主要是</w:t>
      </w:r>
      <w:r>
        <w:rPr>
          <w:rFonts w:asciiTheme="minorEastAsia" w:hAnsiTheme="minorEastAsia"/>
          <w:sz w:val="32"/>
          <w:szCs w:val="32"/>
        </w:rPr>
        <w:t>维修费、洗车费、年检费等</w:t>
      </w:r>
      <w:r>
        <w:rPr>
          <w:rFonts w:hint="eastAsia" w:asciiTheme="minorEastAsia" w:hAnsiTheme="minorEastAsia"/>
          <w:sz w:val="32"/>
          <w:szCs w:val="32"/>
        </w:rPr>
        <w:t>支出，截止2020年12月31日，我单位开支财政拨款的公务用车保有量为2辆。</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本单位无政府性基金收支。</w:t>
      </w:r>
    </w:p>
    <w:p>
      <w:pPr>
        <w:pStyle w:val="9"/>
        <w:rPr>
          <w:rFonts w:hAnsi="黑体"/>
          <w:b/>
          <w:sz w:val="32"/>
          <w:szCs w:val="32"/>
        </w:rPr>
      </w:pPr>
      <w:r>
        <w:rPr>
          <w:rFonts w:hint="eastAsia" w:hAnsi="黑体"/>
          <w:b/>
          <w:sz w:val="32"/>
          <w:szCs w:val="32"/>
        </w:rPr>
        <w:t>九、关于机关运行经费支出说明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本部门2020年度机关运行经费支出169.79万元，比年初预算数增加47.55万元，增长39%。主要原因是：工会经费支出、扶贫专项支出、党建经费支出的增加。</w:t>
      </w:r>
    </w:p>
    <w:p>
      <w:pPr>
        <w:pStyle w:val="9"/>
        <w:rPr>
          <w:rFonts w:hAnsi="黑体"/>
          <w:b/>
          <w:sz w:val="32"/>
          <w:szCs w:val="32"/>
        </w:rPr>
      </w:pPr>
      <w:r>
        <w:rPr>
          <w:rFonts w:hint="eastAsia" w:hAnsi="黑体"/>
          <w:b/>
          <w:sz w:val="32"/>
          <w:szCs w:val="32"/>
        </w:rPr>
        <w:t>十、一般性支出情况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2020年本部门开支会议费0万元；开支培训费0.16万元，用于个人参加专业技术提升培训，人数5人，内容为学历提升培训、专技继续教育培训</w:t>
      </w:r>
      <w:r>
        <w:rPr>
          <w:rFonts w:hint="eastAsia" w:asciiTheme="minorEastAsia" w:hAnsiTheme="minorEastAsia" w:eastAsiaTheme="minorEastAsia"/>
          <w:sz w:val="32"/>
          <w:szCs w:val="32"/>
          <w:lang w:eastAsia="zh-CN"/>
        </w:rPr>
        <w:t>。</w:t>
      </w:r>
      <w:bookmarkStart w:id="0" w:name="_GoBack"/>
      <w:bookmarkEnd w:id="0"/>
    </w:p>
    <w:p>
      <w:pPr>
        <w:pStyle w:val="9"/>
        <w:rPr>
          <w:rFonts w:hAnsi="黑体"/>
          <w:b/>
          <w:sz w:val="32"/>
          <w:szCs w:val="32"/>
        </w:rPr>
      </w:pPr>
      <w:r>
        <w:rPr>
          <w:rFonts w:hint="eastAsia" w:hAnsi="黑体"/>
          <w:b/>
          <w:sz w:val="32"/>
          <w:szCs w:val="32"/>
        </w:rPr>
        <w:t>十一、关于政府采购支出说明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本部门2020年度政府采购支出总额0万元，其中：政府采购货物支出0 万元、政府采购工程支出0万元、政府采购服务支出0万元。授予中小企业合同金额0万元，占政府采购支出总额的0%，其中：授予小微企业合同金额0万元，占政府采购支出总额的0%。</w:t>
      </w:r>
    </w:p>
    <w:p>
      <w:pPr>
        <w:pStyle w:val="9"/>
        <w:rPr>
          <w:rFonts w:hAnsi="黑体"/>
          <w:b/>
          <w:sz w:val="32"/>
          <w:szCs w:val="32"/>
        </w:rPr>
      </w:pPr>
      <w:r>
        <w:rPr>
          <w:rFonts w:hint="eastAsia" w:hAnsi="黑体"/>
          <w:b/>
          <w:sz w:val="32"/>
          <w:szCs w:val="32"/>
        </w:rPr>
        <w:t>十二、关于国有资产占用情况说明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2辆，其中，主要领导干部用车0辆，机要通信用车0辆、应急保障用车0辆、执法执勤用车0辆、特种专业技术用车0辆、其他用车2辆，其他用车主要是用于一般公务出行；单位价值50万元以上通用设备0台（套）；单位价值100万元以上专用设备0台（套）。</w:t>
      </w:r>
    </w:p>
    <w:p>
      <w:pPr>
        <w:pStyle w:val="9"/>
        <w:rPr>
          <w:rFonts w:hAnsi="黑体"/>
          <w:b/>
          <w:sz w:val="32"/>
          <w:szCs w:val="32"/>
        </w:rPr>
      </w:pPr>
      <w:r>
        <w:rPr>
          <w:rFonts w:hint="eastAsia" w:hAnsi="黑体"/>
          <w:b/>
          <w:sz w:val="32"/>
          <w:szCs w:val="32"/>
        </w:rPr>
        <w:t>十三、关于2020年度预算绩效情况的说明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本单位无市重点项目预算绩效目标。</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2020年预算绩效情况说明：</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（1）确保了所部的基本运行开支。</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2020年事业支出中的基本支出1180.72万元，包括了工资福利支出856.42万元，商品和服务支出259.8万元，对家庭个人补助支出64.5万元，确保了所部的基本运行。</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（2）以农业产业为导向，科研创新亮点纷呈。</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完成省级项目申报6项，市级项目(课题)申报2项。共实施科研项目32个，其中国家级项目2个，省级项目11个，市级项目6个，自选项目13个，发表论文5篇。授权发明专利1项（“一种水稻有性杂交方法”），实现了零的突破。获实用新型专利1项（“一种农用大豆播种设备”）。科研项目智能管理系统、青蒿种质资源管理服务平台取得了国家版权局计算机软件著作权登记证书。</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（3）成果转化和科技服务成效明显。</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水稻方面：开展了优质早中晚稻筛选、联合品比和高产展示试验，“早专晚优”双季稻全程机械化高效栽培技术、双季稻二化螟绿色防控技术、优质稻绿色栽培技术的试验示范。自选5个水稻品种参加湖南省水稻品比试验。</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烤烟方面：完成市烟草公司试验项目4项，形成了3项技术规范。“湘烟3号繁种技术研究”项目节约花粉量60%左右。“烤烟良种繁育技术研究”项目获得了优质、高产、抗性强的新株系，种子种性与纯度提高。</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茶叶方面：“永州江华苦茶提质增效及产业升级关键技术研究、集成示范项目”通过验收。该项目完成了江华苦茶春茶采茶制样，建立技术示范基地2000亩，制定了茶叶轻简化种植技术规程与加工工艺规程，筛选出了1种适合永州地区茶叶的专用有机肥。</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旱杂粮方面：与省旱粮产业技术体系专家协同攻关，筛选出了更高效的草地贪夜蛾防治药剂，湘南夏秋季抗灾救灾最佳的旱粮品种与播期组合。从省内外引进20个红薯品种，筛选出产量高、品质优和抗病虫性强的花叶紫和浙紫薯1号。市科技创新后补助重点项目——“大豆新品种的引进与培育”项目通过验收。</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青蒿方面：通过培养条件优化，确定了青蒿组培最佳技术途径，并已申报专利。筛选并保存青蒿素含量在20‰以上的优良单株（及种子）23株。</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油菜方面：完成湖南省油菜产业体系湘南试验站工作，在石山脚乡悟山里建立油菜新技术示范基地100余亩。</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水果方面：在蓝山博亿农业开发有限公司建设夏黑、阳光玫瑰“三减一增”技术示范基地200亩。</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蔬菜方面：筛选出了适合永州地区种植的5个豇豆品种、6个西甜瓜品种、4个辣椒品种、2个西红柿品种，建设蔬菜新品种示范基地200亩。</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花生方面：“小籽花生绿色高产高效栽培技术推广与应用”项目通过省农业农村厅组织的第三方专家评价，评审结论为该项技术达省内领先水平。该技术在宁远柏家坪镇推广1000亩。</w:t>
      </w:r>
    </w:p>
    <w:p>
      <w:pPr>
        <w:pStyle w:val="9"/>
        <w:ind w:firstLine="640" w:firstLineChars="200"/>
        <w:rPr>
          <w:rFonts w:asciiTheme="minorEastAsia" w:hAnsiTheme="minorEastAsia" w:eastAsiaTheme="minorEastAsia"/>
          <w:sz w:val="32"/>
          <w:szCs w:val="32"/>
        </w:rPr>
      </w:pPr>
    </w:p>
    <w:p>
      <w:pPr>
        <w:pStyle w:val="9"/>
        <w:jc w:val="center"/>
        <w:rPr>
          <w:rFonts w:hint="eastAsia"/>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一、财政拨款收入：指财政当年拨付的资金。包括一般公共预算财政拨款和政府性基金预算财政拨款。</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二、上级补助收入：指事业单位从主管部门和上级单位取得的非财政补助收入。 </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三、事业收入：指事业单位开展专业业务活动及辅助活动所取得的收入。 </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四、经营收入：指事业单位在专业业务活动及其辅助活动之外开展非独立核算经营活动取得的收入。 </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五、附属单位上缴收入：指事业单位附属独立核算单位按照有关规定上缴的收入。 </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六、其他收入：指除上述“财政拨款收入”、“事业收入”、“经营收入”等以外的收入。 </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七、基本支出：指为保障机构正常运转、完成日常工作任务而发生的各项支出，包括人员支出和公用支出。  </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八、项目支出：指在基本支出以外为完成相关行政任务和事业发展目标所发生的各项支出。  </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九、“三公”经费：指通过财政拨款资金安排的因公出国（境）费、公务用车购置及运行费和公务接待费支出。  </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jc w:val="center"/>
        <w:rPr>
          <w:rFonts w:hint="eastAsia"/>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800" w:firstLineChars="200"/>
        <w:jc w:val="center"/>
        <w:rPr>
          <w:rFonts w:cs="黑体" w:asciiTheme="minorEastAsia" w:hAnsiTheme="minorEastAsia"/>
          <w:b/>
          <w:color w:val="000000"/>
          <w:kern w:val="0"/>
          <w:sz w:val="40"/>
          <w:szCs w:val="32"/>
        </w:rPr>
      </w:pPr>
      <w:r>
        <w:rPr>
          <w:rFonts w:hint="eastAsia" w:cs="黑体" w:asciiTheme="minorEastAsia" w:hAnsiTheme="minorEastAsia"/>
          <w:b/>
          <w:color w:val="000000"/>
          <w:kern w:val="0"/>
          <w:sz w:val="40"/>
          <w:szCs w:val="32"/>
        </w:rPr>
        <w:t>2020年度部门整体支出绩效评价报告</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一、绩效自评得分、绩效等级</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一年来，通过市财政等上级部门支持和自身的努力，经过资金的合理调控，我所较好的完成的上级交办的任务，确保了单位的正常运行和项目的建设，达到了预期的绩效目标。</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二、部门概况</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（一）部门基本情况</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永州市农业科学研究所是我市唯一的正处级公益性、综合性农业科研事业单位，下设行政科室</w:t>
      </w:r>
      <w:r>
        <w:rPr>
          <w:rFonts w:cs="黑体" w:asciiTheme="minorEastAsia" w:hAnsiTheme="minorEastAsia"/>
          <w:color w:val="000000"/>
          <w:kern w:val="0"/>
          <w:sz w:val="32"/>
          <w:szCs w:val="32"/>
        </w:rPr>
        <w:t>5</w:t>
      </w:r>
      <w:r>
        <w:rPr>
          <w:rFonts w:hint="eastAsia" w:cs="黑体" w:asciiTheme="minorEastAsia" w:hAnsiTheme="minorEastAsia"/>
          <w:color w:val="000000"/>
          <w:kern w:val="0"/>
          <w:sz w:val="32"/>
          <w:szCs w:val="32"/>
        </w:rPr>
        <w:t>个，即办公室、科技科、政工科、计财科、工会；科研科室5个，即水稻育种研究室、农作物栽培研究室、果蔬研究室、烤烟研究室、旱粮作物研究室。单位核定编制数</w:t>
      </w:r>
      <w:r>
        <w:rPr>
          <w:rFonts w:cs="黑体" w:asciiTheme="minorEastAsia" w:hAnsiTheme="minorEastAsia"/>
          <w:color w:val="000000"/>
          <w:kern w:val="0"/>
          <w:sz w:val="32"/>
          <w:szCs w:val="32"/>
        </w:rPr>
        <w:t>89</w:t>
      </w:r>
      <w:r>
        <w:rPr>
          <w:rFonts w:hint="eastAsia" w:cs="黑体" w:asciiTheme="minorEastAsia" w:hAnsiTheme="minorEastAsia"/>
          <w:color w:val="000000"/>
          <w:kern w:val="0"/>
          <w:sz w:val="32"/>
          <w:szCs w:val="32"/>
        </w:rPr>
        <w:t>人，其中全额拨款为</w:t>
      </w:r>
      <w:r>
        <w:rPr>
          <w:rFonts w:cs="黑体" w:asciiTheme="minorEastAsia" w:hAnsiTheme="minorEastAsia"/>
          <w:color w:val="000000"/>
          <w:kern w:val="0"/>
          <w:sz w:val="32"/>
          <w:szCs w:val="32"/>
        </w:rPr>
        <w:t>70</w:t>
      </w:r>
      <w:r>
        <w:rPr>
          <w:rFonts w:hint="eastAsia" w:cs="黑体" w:asciiTheme="minorEastAsia" w:hAnsiTheme="minorEastAsia"/>
          <w:color w:val="000000"/>
          <w:kern w:val="0"/>
          <w:sz w:val="32"/>
          <w:szCs w:val="32"/>
        </w:rPr>
        <w:t>人，差额拨款</w:t>
      </w:r>
      <w:r>
        <w:rPr>
          <w:rFonts w:cs="黑体" w:asciiTheme="minorEastAsia" w:hAnsiTheme="minorEastAsia"/>
          <w:color w:val="000000"/>
          <w:kern w:val="0"/>
          <w:sz w:val="32"/>
          <w:szCs w:val="32"/>
        </w:rPr>
        <w:t>19</w:t>
      </w:r>
      <w:r>
        <w:rPr>
          <w:rFonts w:hint="eastAsia" w:cs="黑体" w:asciiTheme="minorEastAsia" w:hAnsiTheme="minorEastAsia"/>
          <w:color w:val="000000"/>
          <w:kern w:val="0"/>
          <w:sz w:val="32"/>
          <w:szCs w:val="32"/>
        </w:rPr>
        <w:t>人。部门实有人数194人，其中在职人员74人，退休人员120人。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（二）部门职能概述</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我所以开展农业科学研究，服务“三农”，促进农业和农村经济发展为宗旨，主要工作职责为开展农作物（主要是水稻、烤烟、油菜、玉米等）新品种的引进、选育，栽培技术、病虫害防治等科学研究及配套新技术、新成果的试验、示范和推广；承担国家、省、市相关部门下达的农业科研、推广项目和市委、市政府交办的其他工作。</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（三）部门整体支出情况</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统计至2020年12月31日止，我所完成收入1626.62万元（含上年结余359.1万元），其中一般公共预算财政拨款收入1267.52万元。支出1572.88万元，年末结转和结余53.74万元，其中事业基本支出1180.72万元（</w:t>
      </w:r>
      <w:r>
        <w:rPr>
          <w:rFonts w:cs="黑体" w:asciiTheme="minorEastAsia" w:hAnsiTheme="minorEastAsia"/>
          <w:color w:val="000000"/>
          <w:kern w:val="0"/>
          <w:sz w:val="32"/>
          <w:szCs w:val="32"/>
        </w:rPr>
        <w:t>1</w:t>
      </w:r>
      <w:r>
        <w:rPr>
          <w:rFonts w:hint="eastAsia" w:cs="黑体" w:asciiTheme="minorEastAsia" w:hAnsiTheme="minorEastAsia"/>
          <w:color w:val="000000"/>
          <w:kern w:val="0"/>
          <w:sz w:val="32"/>
          <w:szCs w:val="32"/>
        </w:rPr>
        <w:t>、人员经费支出856.42万元，</w:t>
      </w:r>
      <w:r>
        <w:rPr>
          <w:rFonts w:cs="黑体" w:asciiTheme="minorEastAsia" w:hAnsiTheme="minorEastAsia"/>
          <w:color w:val="000000"/>
          <w:kern w:val="0"/>
          <w:sz w:val="32"/>
          <w:szCs w:val="32"/>
        </w:rPr>
        <w:t>2</w:t>
      </w:r>
      <w:r>
        <w:rPr>
          <w:rFonts w:hint="eastAsia" w:cs="黑体" w:asciiTheme="minorEastAsia" w:hAnsiTheme="minorEastAsia"/>
          <w:color w:val="000000"/>
          <w:kern w:val="0"/>
          <w:sz w:val="32"/>
          <w:szCs w:val="32"/>
        </w:rPr>
        <w:t>、公用经费支出259.8万元，3、对个人和家庭的补助支出64.5万元）；项目支出392.16万元；总结余53.74万元。</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三公经费支出8.22万元，其中公务接待费2.22万元，公务用车运行费6万元；同比</w:t>
      </w:r>
      <w:r>
        <w:rPr>
          <w:rFonts w:cs="黑体" w:asciiTheme="minorEastAsia" w:hAnsiTheme="minorEastAsia"/>
          <w:color w:val="000000"/>
          <w:kern w:val="0"/>
          <w:sz w:val="32"/>
          <w:szCs w:val="32"/>
        </w:rPr>
        <w:t>201</w:t>
      </w:r>
      <w:r>
        <w:rPr>
          <w:rFonts w:hint="eastAsia" w:cs="黑体" w:asciiTheme="minorEastAsia" w:hAnsiTheme="minorEastAsia"/>
          <w:color w:val="000000"/>
          <w:kern w:val="0"/>
          <w:sz w:val="32"/>
          <w:szCs w:val="32"/>
        </w:rPr>
        <w:t>9年同期三公经费决算数增加4.97万元，增加153%。原因是前决算申报人员的工作失误导致2019年决算软件里公务招待费、公务用车运行维护费数据录入错误，实际2020年比2019年三公经费减少8.61万元。</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三、2020年绩效目标完成情况</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20</w:t>
      </w:r>
      <w:r>
        <w:rPr>
          <w:rFonts w:hint="eastAsia" w:cs="黑体" w:asciiTheme="minorEastAsia" w:hAnsiTheme="minorEastAsia"/>
          <w:color w:val="000000"/>
          <w:kern w:val="0"/>
          <w:sz w:val="32"/>
          <w:szCs w:val="32"/>
        </w:rPr>
        <w:t>20年我所主要做了以下方面的工作：</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一、确保了职工工资的足额发放和所部的基本运行开支。</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事业基本支出1180.72万元，包括了工资福利支出856.42万元和对个人和家庭的补助64.5万元，公用经费支出259.8万元，确保了所部的基本运行。</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二、确保了各项科研试验的顺利开展。</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20</w:t>
      </w:r>
      <w:r>
        <w:rPr>
          <w:rFonts w:hint="eastAsia" w:cs="黑体" w:asciiTheme="minorEastAsia" w:hAnsiTheme="minorEastAsia"/>
          <w:color w:val="000000"/>
          <w:kern w:val="0"/>
          <w:sz w:val="32"/>
          <w:szCs w:val="32"/>
        </w:rPr>
        <w:t>20年事业支出中的科研项目支出392.16万元。</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（一）以农业产业为导向，科研创新亮点纷呈。</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完成省级项目申报6项，市级项目(课题)申报2项。共实施科研项目32个，其中国家级项目2个，省级项目11个，市级项目6个，自选项目13个，发表论文5篇。授权发明专利1项（“一种水稻有性杂交方法”），实现了零的突破。获实用新型专利1项（“一种农用大豆播种设备”）。科研项目智能管理系统、青蒿种质资源管理服务平台取得了国家版权局计算机软件著作权登记证书。</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（二）成果转化和科技服务成效明显。</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水稻方面：开展了优质早中晚稻筛选、联合品比和高产展示试验，“早专晚优”双季稻全程机械化高效栽培技术、双季稻二化螟绿色防控技术、优质稻绿色栽培技术的试验示范。自选5个水稻品种参加湖南省水稻品比试验。</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烤烟方面：完成市烟草公司试验项目4项，形成了3项技术规范。“湘烟3号繁种技术研究”项目节约花粉量60%左右。“烤烟良种繁育技术研究”项目获得了优质、高产、抗性强的新株系，种子种性与纯度提高。</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茶叶方面：“永州江华苦茶提质增效及产业升级关键技术研究、集成示范项目”通过验收。该项目完成了江华苦茶春茶采茶制样，建立技术示范基地2000亩，制定了茶叶轻简化种植技术规程与加工工艺规程，筛选出了1种适合永州地区茶叶的专用有机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旱杂粮方面：与省旱粮产业技术体系专家协同攻关，筛选出了更高效的草地贪夜蛾防治药剂，湘南夏秋季抗灾救灾最佳的旱粮品种与播期组合。从省内外引进20个红薯品种，筛选出产量高、品质优和抗病虫性强的花叶紫和浙紫薯1号。市科技创新后补助重点项目——“大豆新品种的引进与培育”项目通过验收。</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青蒿方面：通过培养条件优化，确定了青蒿组培最佳技术途径，并已申报专利。筛选并保存青蒿素含量在20‰以上的优良单株（及种子）23株。</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油菜方面：完成湖南省油菜产业体系湘南试验站工作，在石山脚乡悟山里建立油菜新技术示范基地100余亩。</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水果方面：在蓝山博亿农业开发有限公司建设夏黑、阳光玫瑰“三减一增”技术示范基地200亩。</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蔬菜方面：筛选出了适合永州地区种植的5个豇豆品种、6个西甜瓜品种、4个辣椒品种、2个西红柿品种，建设蔬菜新品种示范基地200亩。</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花生方面：“小籽花生绿色高产高效栽培技术推广与应用”项目通过省农业农村厅组织的第三方专家评价，评审结论为该项技术达省内领先水平。该技术在宁远柏家坪镇推广1000亩。</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（三）以科研项目为纽带，进一步加强对外合作。</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我所与中国农科院合作项目有：“油菜新品种区域试验”。与湖南农科院合作项目有：“江华苦茶种质资源收集与利用”“五彩湘茶提质增效研究”“蔬菜新品种试验示范”“柑桔速生丰产高效栽培技术研究”。与湖南农大合作项目有：“花生‘三减一增’技术示范”“早熟油菜全程机械化示范”。联合江华大龙山茶业公司、祁阳德辉农业合作社等20多家企业、合作社，建设新品种新技术示范基地。全年多次邀请湖南省现代农业产业技术体系专家罗红兵、刘昆玉、杨水芝，湖南农业大学博士生导师孙松林，省茶叶研究所</w:t>
      </w:r>
      <w:r>
        <w:rPr>
          <w:rFonts w:cs="黑体" w:asciiTheme="minorEastAsia" w:hAnsiTheme="minorEastAsia"/>
          <w:color w:val="000000"/>
          <w:kern w:val="0"/>
          <w:sz w:val="32"/>
          <w:szCs w:val="32"/>
        </w:rPr>
        <w:t>党总支书记谭正初</w:t>
      </w:r>
      <w:r>
        <w:rPr>
          <w:rFonts w:hint="eastAsia" w:cs="黑体" w:asciiTheme="minorEastAsia" w:hAnsiTheme="minorEastAsia"/>
          <w:color w:val="000000"/>
          <w:kern w:val="0"/>
          <w:sz w:val="32"/>
          <w:szCs w:val="32"/>
        </w:rPr>
        <w:t>，省水稻研究所研究员周斌来永州指导。通过对外合作，既引进了优良品种，吸收了先进技术，提升了研发水平，又推广了良种良法，加强了技术指导，促进了农业增产增效。</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三、综合管理顺利有序。</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（一）以科技服务为抓手，助推现代农业向前发展。</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通过科技三下乡、农村致富带头人培训、对口产业脱贫技术培训、救灾补损现场指导等载体，35名科研人员赴80家农业企业、示范基地开展科技服务，累计培训农民约2000人次。通过湘农科教云APP，及时解答农民提问200余个。面对新冠疫情挑战，派出科技服务队，及时开展农情调查，下乡指导春耕生产。通过微信群为20个示范基地、500余名种植大户提供技术指导。联合宣传部门制作“田间视频课”，在有需求的乡镇推广，精准实施农技服务，助力农业稳产保供。</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发挥科研推广优势，助力脱贫攻坚。全所职工共包江华瑶族自治县湘江乡樟木口村80户贫困户，派出1名专家长驻村开展技术扶贫，组织猕猴桃、水稻等栽培技术培训12次。以引进白茶基地为支撑，为当地62名老年人创收86万元。发展“林下经济”3500亩，新增种植中药材田三七50亩，七叶一枝花100亩。樟木口村顺利通过2020年国家脱贫攻坚普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（二）以党建工作为引领，凝聚合力提升发展后劲。</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抓好理论学习。全年组织开展中心组学习12次，领导干部每季度讲1次党课。引导党员通过“学习强国”“红星云”“潇湘红云·智慧党建”加强学习。及时学习重要会议、指示精神。11月组织学习习近平总书记视察湖南重要讲话指示精神。12月邀请市人大民侨外委主任委员周龙江为全所干部职工宣讲十九届五中全会精神。开展红色教育。组织党员去道县陈树湘烈士纪念园、何宝珍故居、濂溪书院、周敦颐故居参观学习；观看《“战”疫一线党旗红》《半条棉被》；到市博物馆参观“伟大贡献——纪念抗战胜利75周年”展览。</w:t>
      </w:r>
      <w:r>
        <w:rPr>
          <w:rFonts w:cs="黑体" w:asciiTheme="minorEastAsia" w:hAnsiTheme="minorEastAsia"/>
          <w:color w:val="000000"/>
          <w:kern w:val="0"/>
          <w:sz w:val="32"/>
          <w:szCs w:val="32"/>
        </w:rPr>
        <w:t>持续深入</w:t>
      </w:r>
      <w:r>
        <w:rPr>
          <w:rFonts w:hint="eastAsia" w:cs="黑体" w:asciiTheme="minorEastAsia" w:hAnsiTheme="minorEastAsia"/>
          <w:color w:val="000000"/>
          <w:kern w:val="0"/>
          <w:sz w:val="32"/>
          <w:szCs w:val="32"/>
        </w:rPr>
        <w:t>的教育</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激发了党员干部干事创业的热情</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创新形式开展党的主题活动。联合市委组织部、市农业农村局举办了科普到果园——永州市党员教育“乡村学堂”活动。对回龙圩管理区科技示范户、种植大户共</w:t>
      </w:r>
      <w:r>
        <w:rPr>
          <w:rFonts w:cs="黑体" w:asciiTheme="minorEastAsia" w:hAnsiTheme="minorEastAsia"/>
          <w:color w:val="000000"/>
          <w:kern w:val="0"/>
          <w:sz w:val="32"/>
          <w:szCs w:val="32"/>
        </w:rPr>
        <w:t>100</w:t>
      </w:r>
      <w:r>
        <w:rPr>
          <w:rFonts w:hint="eastAsia" w:cs="黑体" w:asciiTheme="minorEastAsia" w:hAnsiTheme="minorEastAsia"/>
          <w:color w:val="000000"/>
          <w:kern w:val="0"/>
          <w:sz w:val="32"/>
          <w:szCs w:val="32"/>
        </w:rPr>
        <w:t>余人进行了课堂培训和田间实训。发挥党员先锋作用，抓好疫情防控。组织党员突击队，向居民、群众宣传防治知识，对采取居家隔离观察措施的居民实行“一对一”帮扶。由于措施得力，我所没有出现一例新冠肺炎患者。</w:t>
      </w:r>
    </w:p>
    <w:p>
      <w:pPr>
        <w:ind w:firstLine="640" w:firstLineChars="200"/>
        <w:jc w:val="left"/>
        <w:rPr>
          <w:rFonts w:hint="eastAsia" w:cs="黑体" w:asciiTheme="minorEastAsia" w:hAnsiTheme="minorEastAsia"/>
          <w:color w:val="000000"/>
          <w:kern w:val="0"/>
          <w:sz w:val="32"/>
          <w:szCs w:val="32"/>
        </w:rPr>
      </w:pPr>
      <w:r>
        <w:rPr>
          <w:rFonts w:cs="黑体" w:asciiTheme="minorEastAsia" w:hAnsiTheme="minorEastAsia"/>
          <w:color w:val="000000"/>
          <w:kern w:val="0"/>
          <w:sz w:val="32"/>
          <w:szCs w:val="32"/>
        </w:rPr>
        <w:t>四、下一步工作安排</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狠抓党风廉政建设，严守纪律规矩不放松。一是在推进正风肃纪上狠下功夫。领导干部发挥好“头雁效应”,充分履行党委的主体责任，认真开展纠“四风”专项整治工作，力戒形式主义、官僚主义，以好的作风确保好的效果，形成风清气正的廉政文化。二是在守纪律讲规矩上下功夫。进一步要求各级党组织从严建章立制，从严管理班子，从严建强队伍，从严落实责任，从严整治作风。</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严格落实组织生活制度，抓好基层党建工作。按照“常规工作上台阶、重点工作求突破、考核工作争先进、特色工作出亮点”的思路，加强党支部“五化”建设，更好地发挥基层党组织的战斗堡垒作用和党员的先锋模范作用。严格落实“三会一课”、组织生活会、民主评议党员、主题党日等组织生活制度，推动组织生活正常化。</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高质量完成科研项目。狠抓国家、省、市重点科研项目申报，密切跟踪已经申报的重点项目，争取更多的科技项目和资金落实。抓好科研项目实施，加强管理考核。</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改善科研基础设施。积极争取资金，按照智能化、信息化、标准化、机械化的要求，高标准建设科研基地。继续加强实验室建设，有针对性地配置仪器设备，完善科研设施，改善科研手段。</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提升科研人员科研水平。有计划地选派一批科研人员</w:t>
      </w:r>
      <w:r>
        <w:rPr>
          <w:rFonts w:cs="黑体" w:asciiTheme="minorEastAsia" w:hAnsiTheme="minorEastAsia"/>
          <w:color w:val="000000"/>
          <w:kern w:val="0"/>
          <w:sz w:val="32"/>
          <w:szCs w:val="32"/>
        </w:rPr>
        <w:t>到</w:t>
      </w:r>
      <w:r>
        <w:rPr>
          <w:rFonts w:hint="eastAsia" w:cs="黑体" w:asciiTheme="minorEastAsia" w:hAnsiTheme="minorEastAsia"/>
          <w:color w:val="000000"/>
          <w:kern w:val="0"/>
          <w:sz w:val="32"/>
          <w:szCs w:val="32"/>
        </w:rPr>
        <w:t>省</w:t>
      </w:r>
      <w:r>
        <w:rPr>
          <w:rFonts w:cs="黑体" w:asciiTheme="minorEastAsia" w:hAnsiTheme="minorEastAsia"/>
          <w:color w:val="000000"/>
          <w:kern w:val="0"/>
          <w:sz w:val="32"/>
          <w:szCs w:val="32"/>
        </w:rPr>
        <w:t>内外高校、科研院所、农业产业化龙头企业短期访学研修</w:t>
      </w:r>
      <w:r>
        <w:rPr>
          <w:rFonts w:hint="eastAsia" w:cs="黑体" w:asciiTheme="minorEastAsia" w:hAnsiTheme="minorEastAsia"/>
          <w:color w:val="000000"/>
          <w:kern w:val="0"/>
          <w:sz w:val="32"/>
          <w:szCs w:val="32"/>
        </w:rPr>
        <w:t>，参加全国农业科技</w:t>
      </w:r>
      <w:r>
        <w:rPr>
          <w:rFonts w:cs="黑体" w:asciiTheme="minorEastAsia" w:hAnsiTheme="minorEastAsia"/>
          <w:color w:val="000000"/>
          <w:kern w:val="0"/>
          <w:sz w:val="32"/>
          <w:szCs w:val="32"/>
        </w:rPr>
        <w:t>前沿领域</w:t>
      </w:r>
      <w:r>
        <w:rPr>
          <w:rFonts w:hint="eastAsia" w:cs="黑体" w:asciiTheme="minorEastAsia" w:hAnsiTheme="minorEastAsia"/>
          <w:color w:val="000000"/>
          <w:kern w:val="0"/>
          <w:sz w:val="32"/>
          <w:szCs w:val="32"/>
        </w:rPr>
        <w:t>的学术交流，更新知识，提升业务水平。</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029DC"/>
    <w:rsid w:val="0002229B"/>
    <w:rsid w:val="000273BD"/>
    <w:rsid w:val="000415B7"/>
    <w:rsid w:val="00041E3F"/>
    <w:rsid w:val="00044B33"/>
    <w:rsid w:val="00055DAA"/>
    <w:rsid w:val="00061F7B"/>
    <w:rsid w:val="000658A3"/>
    <w:rsid w:val="00074155"/>
    <w:rsid w:val="000A3F69"/>
    <w:rsid w:val="000E3EF8"/>
    <w:rsid w:val="00103957"/>
    <w:rsid w:val="00152C6D"/>
    <w:rsid w:val="00160042"/>
    <w:rsid w:val="001629B8"/>
    <w:rsid w:val="00162D39"/>
    <w:rsid w:val="001678BD"/>
    <w:rsid w:val="001A67DB"/>
    <w:rsid w:val="001C0B05"/>
    <w:rsid w:val="001C3C29"/>
    <w:rsid w:val="001D2EC6"/>
    <w:rsid w:val="001D51E5"/>
    <w:rsid w:val="001E080D"/>
    <w:rsid w:val="001E53D0"/>
    <w:rsid w:val="001E7263"/>
    <w:rsid w:val="001F0C3B"/>
    <w:rsid w:val="00202C82"/>
    <w:rsid w:val="00214427"/>
    <w:rsid w:val="00226CB7"/>
    <w:rsid w:val="00264552"/>
    <w:rsid w:val="00264EF9"/>
    <w:rsid w:val="00265724"/>
    <w:rsid w:val="002713D2"/>
    <w:rsid w:val="0027426B"/>
    <w:rsid w:val="002E0A30"/>
    <w:rsid w:val="003130C4"/>
    <w:rsid w:val="00316C4B"/>
    <w:rsid w:val="0032192B"/>
    <w:rsid w:val="00326005"/>
    <w:rsid w:val="003479BD"/>
    <w:rsid w:val="0037197D"/>
    <w:rsid w:val="003768D5"/>
    <w:rsid w:val="003840B2"/>
    <w:rsid w:val="003848A4"/>
    <w:rsid w:val="003A412B"/>
    <w:rsid w:val="003C47E6"/>
    <w:rsid w:val="003C4FC2"/>
    <w:rsid w:val="003D4FD7"/>
    <w:rsid w:val="00416E61"/>
    <w:rsid w:val="0042790C"/>
    <w:rsid w:val="004506F9"/>
    <w:rsid w:val="004717A2"/>
    <w:rsid w:val="00473DF3"/>
    <w:rsid w:val="00487911"/>
    <w:rsid w:val="00491741"/>
    <w:rsid w:val="004D0950"/>
    <w:rsid w:val="00500E5F"/>
    <w:rsid w:val="005122EF"/>
    <w:rsid w:val="0051441A"/>
    <w:rsid w:val="00517384"/>
    <w:rsid w:val="00517C33"/>
    <w:rsid w:val="00523644"/>
    <w:rsid w:val="0054069E"/>
    <w:rsid w:val="00544866"/>
    <w:rsid w:val="005767CC"/>
    <w:rsid w:val="00590D9F"/>
    <w:rsid w:val="00595D26"/>
    <w:rsid w:val="005A74E6"/>
    <w:rsid w:val="005A774B"/>
    <w:rsid w:val="005B404E"/>
    <w:rsid w:val="005D4D55"/>
    <w:rsid w:val="005E2CFB"/>
    <w:rsid w:val="005F3D1C"/>
    <w:rsid w:val="005F6804"/>
    <w:rsid w:val="005F7F5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641AD"/>
    <w:rsid w:val="00784003"/>
    <w:rsid w:val="00787B42"/>
    <w:rsid w:val="007C4539"/>
    <w:rsid w:val="007C460E"/>
    <w:rsid w:val="007F3657"/>
    <w:rsid w:val="00812ED5"/>
    <w:rsid w:val="008277D9"/>
    <w:rsid w:val="0084478C"/>
    <w:rsid w:val="0086638C"/>
    <w:rsid w:val="008A3E8D"/>
    <w:rsid w:val="009237C4"/>
    <w:rsid w:val="00944C48"/>
    <w:rsid w:val="00950252"/>
    <w:rsid w:val="00967F5D"/>
    <w:rsid w:val="00971214"/>
    <w:rsid w:val="0097531D"/>
    <w:rsid w:val="009A0F95"/>
    <w:rsid w:val="009B3ADF"/>
    <w:rsid w:val="009C3B52"/>
    <w:rsid w:val="009E6817"/>
    <w:rsid w:val="009E6E9A"/>
    <w:rsid w:val="009E7CC7"/>
    <w:rsid w:val="00A007FE"/>
    <w:rsid w:val="00A01D2B"/>
    <w:rsid w:val="00A12072"/>
    <w:rsid w:val="00A23475"/>
    <w:rsid w:val="00A42218"/>
    <w:rsid w:val="00A70249"/>
    <w:rsid w:val="00A70B02"/>
    <w:rsid w:val="00A71D9F"/>
    <w:rsid w:val="00A756A2"/>
    <w:rsid w:val="00A825CC"/>
    <w:rsid w:val="00A92E9F"/>
    <w:rsid w:val="00B33BEA"/>
    <w:rsid w:val="00B57C9F"/>
    <w:rsid w:val="00B63572"/>
    <w:rsid w:val="00B845B3"/>
    <w:rsid w:val="00B85D8B"/>
    <w:rsid w:val="00BB4A40"/>
    <w:rsid w:val="00BC32CD"/>
    <w:rsid w:val="00BD6C3E"/>
    <w:rsid w:val="00BE3674"/>
    <w:rsid w:val="00BE668C"/>
    <w:rsid w:val="00C10681"/>
    <w:rsid w:val="00C27672"/>
    <w:rsid w:val="00C3049A"/>
    <w:rsid w:val="00C31B1E"/>
    <w:rsid w:val="00C43FA0"/>
    <w:rsid w:val="00C77645"/>
    <w:rsid w:val="00C82424"/>
    <w:rsid w:val="00C96958"/>
    <w:rsid w:val="00C97C03"/>
    <w:rsid w:val="00CC7497"/>
    <w:rsid w:val="00CE04C3"/>
    <w:rsid w:val="00CE1539"/>
    <w:rsid w:val="00CE76A0"/>
    <w:rsid w:val="00D148C6"/>
    <w:rsid w:val="00D17A8A"/>
    <w:rsid w:val="00D415BA"/>
    <w:rsid w:val="00D644EE"/>
    <w:rsid w:val="00D6648A"/>
    <w:rsid w:val="00DA5B35"/>
    <w:rsid w:val="00DD06FF"/>
    <w:rsid w:val="00DD5FE9"/>
    <w:rsid w:val="00E00C7A"/>
    <w:rsid w:val="00E36E55"/>
    <w:rsid w:val="00E37D6C"/>
    <w:rsid w:val="00E55B68"/>
    <w:rsid w:val="00E67BE6"/>
    <w:rsid w:val="00E8683C"/>
    <w:rsid w:val="00EA2B72"/>
    <w:rsid w:val="00F01540"/>
    <w:rsid w:val="00F74360"/>
    <w:rsid w:val="00F92C20"/>
    <w:rsid w:val="00FB462F"/>
    <w:rsid w:val="00FE16FA"/>
    <w:rsid w:val="00FE328A"/>
    <w:rsid w:val="00FE6269"/>
    <w:rsid w:val="00FE7A5C"/>
    <w:rsid w:val="00FF7D14"/>
    <w:rsid w:val="75AB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1418</Words>
  <Characters>8089</Characters>
  <Lines>67</Lines>
  <Paragraphs>18</Paragraphs>
  <TotalTime>95</TotalTime>
  <ScaleCrop>false</ScaleCrop>
  <LinksUpToDate>false</LinksUpToDate>
  <CharactersWithSpaces>9489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2021-09-10T13:26:00Z</dcterms:created>
  <dc:creator>李航 null</dc:creator>
  <cp:lastModifiedBy>kylin</cp:lastModifiedBy>
  <cp:lastPrinted>2021-07-28T08:12:00Z</cp:lastPrinted>
  <dcterms:modified xsi:type="dcterms:W3CDTF">2021-09-13T10:24:00Z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