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val="en-US" w:eastAsia="zh-CN"/>
        </w:rPr>
        <w:t>永州市公安局交通警察支队</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永州市公安局交通警察支队</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val="en-US" w:eastAsia="zh-CN"/>
        </w:rPr>
        <w:t>永州市公安局交通警察支队</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keepNext w:val="0"/>
        <w:keepLines w:val="0"/>
        <w:pageBreakBefore w:val="0"/>
        <w:widowControl w:val="0"/>
        <w:numPr>
          <w:ilvl w:val="0"/>
          <w:numId w:val="1"/>
        </w:numPr>
        <w:kinsoku/>
        <w:wordWrap/>
        <w:overflowPunct/>
        <w:topLinePunct w:val="0"/>
        <w:autoSpaceDE/>
        <w:autoSpaceDN/>
        <w:bidi w:val="0"/>
        <w:adjustRightInd/>
        <w:snapToGrid/>
        <w:ind w:firstLineChars="0"/>
        <w:jc w:val="left"/>
        <w:textAlignment w:val="auto"/>
        <w:rPr>
          <w:rFonts w:ascii="黑体" w:hAnsi="黑体" w:eastAsia="黑体"/>
          <w:sz w:val="32"/>
          <w:szCs w:val="32"/>
        </w:rPr>
      </w:pPr>
      <w:r>
        <w:rPr>
          <w:rFonts w:ascii="黑体" w:hAnsi="黑体" w:eastAsia="黑体"/>
          <w:sz w:val="32"/>
          <w:szCs w:val="32"/>
        </w:rPr>
        <w:t>部门职责</w:t>
      </w:r>
    </w:p>
    <w:p>
      <w:pPr>
        <w:spacing w:beforeLines="0" w:afterLines="0" w:line="56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根据永政办发（1997）9号规定的，支队及其所属四个大队是主管全市道路交通安全和交通秩序以及机动车辆、驾驶员工作的职能部门，隶属市公安局管理。主要职责：</w:t>
      </w:r>
    </w:p>
    <w:p>
      <w:pPr>
        <w:spacing w:beforeLines="0" w:afterLines="0" w:line="56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（一）贯彻执行国家、省、市有关道路交通安全和交通秩序的法律、法规及政策，维护两区道路秩序。</w:t>
      </w:r>
    </w:p>
    <w:p>
      <w:pPr>
        <w:spacing w:beforeLines="0" w:afterLines="0" w:line="56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（二）做好道路交通事故的预防和调处工作，指导基层交通安全组织建设和开展交通安全宣传教育活动。</w:t>
      </w:r>
    </w:p>
    <w:p>
      <w:pPr>
        <w:spacing w:beforeLines="0" w:afterLines="0" w:line="56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三</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实施交通警（保）卫工作，参与处置突发事件，协同其他警种或部门维护公路治安秩序，打击车匪路霸，堵截逃犯及其他犯罪嫌疑人，依法查处乱设卡、乱罚款、乱收费行为。</w:t>
      </w:r>
    </w:p>
    <w:p>
      <w:pPr>
        <w:spacing w:beforeLines="0" w:afterLines="0" w:line="56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四</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做好全市大小车辆及冷、零两区摩托车辆安全检测、牌证发放、改装改型、转籍过户和驾驶员的考试、发证、体检输入工作，及车辆、驾驶员的各类资料建档管理和数据的登记、统计、分类上报工作。</w:t>
      </w:r>
    </w:p>
    <w:p>
      <w:pPr>
        <w:spacing w:beforeLines="0" w:afterLines="0" w:line="560" w:lineRule="exact"/>
        <w:ind w:firstLine="640" w:firstLineChars="200"/>
        <w:rPr>
          <w:rFonts w:hint="eastAsia" w:asciiTheme="minorEastAsia" w:hAnsiTheme="minorEastAsia"/>
          <w:bCs/>
          <w:kern w:val="0"/>
          <w:sz w:val="32"/>
          <w:szCs w:val="32"/>
          <w:lang w:val="en-US"/>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五</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承办市委、市政府、区委、区政府和上级公安机关交办的其他工作。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beforeLines="0" w:afterLines="0" w:line="56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永州市公安局交通警察支队</w:t>
      </w:r>
      <w:r>
        <w:rPr>
          <w:rFonts w:hint="eastAsia" w:asciiTheme="minorEastAsia" w:hAnsiTheme="minorEastAsia"/>
          <w:bCs/>
          <w:kern w:val="0"/>
          <w:sz w:val="32"/>
          <w:szCs w:val="32"/>
        </w:rPr>
        <w:t>单位内设机构包括：15个科室，辖5个直属大队（冷水滩大队、凤凰园大队、金洞大队、机动巡逻大队、零陵大队）和考场后勤服务中心（全额拨款事业单位）</w:t>
      </w:r>
      <w:r>
        <w:rPr>
          <w:rFonts w:hint="eastAsia" w:asciiTheme="minorEastAsia" w:hAnsiTheme="minorEastAsia"/>
          <w:bCs/>
          <w:kern w:val="0"/>
          <w:sz w:val="32"/>
          <w:szCs w:val="32"/>
          <w:lang w:eastAsia="zh-CN"/>
        </w:rPr>
        <w:t>。</w:t>
      </w:r>
    </w:p>
    <w:p>
      <w:pPr>
        <w:widowControl/>
        <w:spacing w:line="600" w:lineRule="exact"/>
        <w:rPr>
          <w:rFonts w:hint="default"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永州市公安局交通警察支队</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Theme="minorEastAsia" w:hAnsiTheme="minorEastAsia"/>
          <w:bCs/>
          <w:kern w:val="0"/>
          <w:sz w:val="32"/>
          <w:szCs w:val="32"/>
          <w:lang w:val="en-US" w:eastAsia="zh-CN"/>
        </w:rPr>
        <w:t>永州市公安局交通警察支队</w:t>
      </w:r>
      <w:r>
        <w:rPr>
          <w:rFonts w:hint="eastAsia" w:asciiTheme="minorEastAsia" w:hAnsiTheme="minorEastAsia"/>
          <w:bCs/>
          <w:kern w:val="0"/>
          <w:sz w:val="32"/>
          <w:szCs w:val="32"/>
        </w:rPr>
        <w:t>单位本级以及</w:t>
      </w:r>
      <w:r>
        <w:rPr>
          <w:rFonts w:hint="eastAsia" w:asciiTheme="minorEastAsia" w:hAnsiTheme="minorEastAsia"/>
          <w:bCs/>
          <w:kern w:val="0"/>
          <w:sz w:val="32"/>
          <w:szCs w:val="32"/>
          <w:lang w:val="en-US" w:eastAsia="zh-CN"/>
        </w:rPr>
        <w:t>零陵大队、冷水滩大队、凤凰园大队、机动车驾驶人考场后勤服务中心。</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jc w:val="center"/>
        <w:rPr>
          <w:rFonts w:hint="default" w:ascii="黑体" w:hAnsi="黑体" w:eastAsia="黑体"/>
          <w:sz w:val="28"/>
          <w:szCs w:val="28"/>
          <w:lang w:val="en-US" w:eastAsia="zh-CN"/>
        </w:rPr>
        <w:sectPr>
          <w:pgSz w:w="16838" w:h="11906" w:orient="landscape"/>
          <w:pgMar w:top="1797" w:right="1440" w:bottom="1797" w:left="1440" w:header="851" w:footer="992" w:gutter="0"/>
          <w:cols w:space="425" w:num="1"/>
          <w:docGrid w:type="linesAndChars" w:linePitch="312" w:charSpace="0"/>
        </w:sectPr>
      </w:pPr>
      <w:r>
        <w:rPr>
          <w:rFonts w:hint="eastAsia" w:ascii="黑体" w:hAnsi="黑体" w:eastAsia="黑体"/>
          <w:sz w:val="28"/>
          <w:szCs w:val="28"/>
          <w:lang w:val="en-US" w:eastAsia="zh-CN"/>
        </w:rPr>
        <w:drawing>
          <wp:inline distT="0" distB="0" distL="114300" distR="114300">
            <wp:extent cx="8131810" cy="5492115"/>
            <wp:effectExtent l="0" t="0" r="2540" b="13335"/>
            <wp:docPr id="1" name="图片 1" descr="公开01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开01表"/>
                    <pic:cNvPicPr>
                      <a:picLocks noChangeAspect="1"/>
                    </pic:cNvPicPr>
                  </pic:nvPicPr>
                  <pic:blipFill>
                    <a:blip r:embed="rId4"/>
                    <a:stretch>
                      <a:fillRect/>
                    </a:stretch>
                  </pic:blipFill>
                  <pic:spPr>
                    <a:xfrm>
                      <a:off x="0" y="0"/>
                      <a:ext cx="8131810" cy="5492115"/>
                    </a:xfrm>
                    <a:prstGeom prst="rect">
                      <a:avLst/>
                    </a:prstGeom>
                  </pic:spPr>
                </pic:pic>
              </a:graphicData>
            </a:graphic>
          </wp:inline>
        </w:drawing>
      </w:r>
      <w:r>
        <w:rPr>
          <w:rFonts w:hint="eastAsia" w:ascii="黑体" w:hAnsi="黑体" w:eastAsia="黑体"/>
          <w:sz w:val="28"/>
          <w:szCs w:val="28"/>
          <w:lang w:val="en-US" w:eastAsia="zh-CN"/>
        </w:rPr>
        <w:t xml:space="preserve">   </w:t>
      </w:r>
    </w:p>
    <w:tbl>
      <w:tblPr>
        <w:tblStyle w:val="6"/>
        <w:tblW w:w="14400" w:type="dxa"/>
        <w:tblInd w:w="0" w:type="dxa"/>
        <w:tblLayout w:type="autofit"/>
        <w:tblCellMar>
          <w:top w:w="0" w:type="dxa"/>
          <w:left w:w="0" w:type="dxa"/>
          <w:bottom w:w="0" w:type="dxa"/>
          <w:right w:w="0" w:type="dxa"/>
        </w:tblCellMar>
      </w:tblPr>
      <w:tblGrid>
        <w:gridCol w:w="14400"/>
      </w:tblGrid>
      <w:tr>
        <w:tblPrEx>
          <w:tblCellMar>
            <w:top w:w="0" w:type="dxa"/>
            <w:left w:w="0" w:type="dxa"/>
            <w:bottom w:w="0" w:type="dxa"/>
            <w:right w:w="0" w:type="dxa"/>
          </w:tblCellMar>
        </w:tblPrEx>
        <w:trPr>
          <w:trHeight w:val="435" w:hRule="atLeast"/>
        </w:trPr>
        <w:tc>
          <w:tcPr>
            <w:tcW w:w="1440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drawing>
                <wp:inline distT="0" distB="0" distL="114300" distR="114300">
                  <wp:extent cx="9116060" cy="4690745"/>
                  <wp:effectExtent l="0" t="0" r="8890" b="14605"/>
                  <wp:docPr id="2" name="图片 2" descr="公开02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开02表"/>
                          <pic:cNvPicPr>
                            <a:picLocks noChangeAspect="1"/>
                          </pic:cNvPicPr>
                        </pic:nvPicPr>
                        <pic:blipFill>
                          <a:blip r:embed="rId5"/>
                          <a:stretch>
                            <a:fillRect/>
                          </a:stretch>
                        </pic:blipFill>
                        <pic:spPr>
                          <a:xfrm>
                            <a:off x="0" y="0"/>
                            <a:ext cx="9116060" cy="4690745"/>
                          </a:xfrm>
                          <a:prstGeom prst="rect">
                            <a:avLst/>
                          </a:prstGeom>
                        </pic:spPr>
                      </pic:pic>
                    </a:graphicData>
                  </a:graphic>
                </wp:inline>
              </w:drawing>
            </w:r>
          </w:p>
        </w:tc>
      </w:tr>
    </w:tbl>
    <w:p>
      <w:pPr>
        <w:widowControl/>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hint="eastAsia" w:ascii="Times New Roman" w:hAnsi="Times New Roman" w:eastAsia="方正小标宋_GBK" w:cs="Times New Roman"/>
          <w:color w:val="000000"/>
          <w:kern w:val="0"/>
          <w:sz w:val="36"/>
          <w:szCs w:val="21"/>
          <w:lang w:eastAsia="zh-CN"/>
        </w:rPr>
      </w:pPr>
      <w:r>
        <w:rPr>
          <w:rFonts w:hint="eastAsia" w:ascii="Times New Roman" w:hAnsi="Times New Roman" w:eastAsia="方正小标宋_GBK" w:cs="Times New Roman"/>
          <w:color w:val="000000"/>
          <w:kern w:val="0"/>
          <w:sz w:val="36"/>
          <w:szCs w:val="21"/>
          <w:lang w:eastAsia="zh-CN"/>
        </w:rPr>
        <w:drawing>
          <wp:inline distT="0" distB="0" distL="114300" distR="114300">
            <wp:extent cx="9771380" cy="5601970"/>
            <wp:effectExtent l="0" t="0" r="1270" b="17780"/>
            <wp:docPr id="3" name="图片 3" descr="公开03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开03表"/>
                    <pic:cNvPicPr>
                      <a:picLocks noChangeAspect="1"/>
                    </pic:cNvPicPr>
                  </pic:nvPicPr>
                  <pic:blipFill>
                    <a:blip r:embed="rId6"/>
                    <a:stretch>
                      <a:fillRect/>
                    </a:stretch>
                  </pic:blipFill>
                  <pic:spPr>
                    <a:xfrm>
                      <a:off x="0" y="0"/>
                      <a:ext cx="9771380" cy="5601970"/>
                    </a:xfrm>
                    <a:prstGeom prst="rect">
                      <a:avLst/>
                    </a:prstGeom>
                  </pic:spPr>
                </pic:pic>
              </a:graphicData>
            </a:graphic>
          </wp:inline>
        </w:drawing>
      </w:r>
    </w:p>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p>
    <w:p>
      <w:pPr>
        <w:widowControl/>
        <w:jc w:val="center"/>
        <w:rPr>
          <w:rFonts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lang w:eastAsia="zh-CN"/>
        </w:rPr>
      </w:pPr>
      <w:r>
        <w:rPr>
          <w:rFonts w:hint="eastAsia" w:ascii="Times New Roman" w:hAnsi="Times New Roman" w:eastAsia="方正小标宋_GBK" w:cs="Times New Roman"/>
          <w:kern w:val="0"/>
          <w:sz w:val="36"/>
          <w:szCs w:val="36"/>
          <w:lang w:eastAsia="zh-CN"/>
        </w:rPr>
        <w:drawing>
          <wp:inline distT="0" distB="0" distL="114300" distR="114300">
            <wp:extent cx="8949690" cy="6639560"/>
            <wp:effectExtent l="0" t="0" r="3810" b="8890"/>
            <wp:docPr id="4" name="图片 4" descr="公开04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开04表"/>
                    <pic:cNvPicPr>
                      <a:picLocks noChangeAspect="1"/>
                    </pic:cNvPicPr>
                  </pic:nvPicPr>
                  <pic:blipFill>
                    <a:blip r:embed="rId7"/>
                    <a:stretch>
                      <a:fillRect/>
                    </a:stretch>
                  </pic:blipFill>
                  <pic:spPr>
                    <a:xfrm>
                      <a:off x="0" y="0"/>
                      <a:ext cx="8949690" cy="6639560"/>
                    </a:xfrm>
                    <a:prstGeom prst="rect">
                      <a:avLst/>
                    </a:prstGeom>
                  </pic:spPr>
                </pic:pic>
              </a:graphicData>
            </a:graphic>
          </wp:inline>
        </w:drawing>
      </w:r>
    </w:p>
    <w:p>
      <w:pPr>
        <w:widowControl/>
        <w:jc w:val="center"/>
        <w:rPr>
          <w:rFonts w:hint="eastAsia" w:ascii="Times New Roman" w:hAnsi="Times New Roman" w:eastAsia="方正小标宋_GBK" w:cs="Times New Roman"/>
          <w:kern w:val="0"/>
          <w:sz w:val="36"/>
          <w:szCs w:val="36"/>
          <w:lang w:eastAsia="zh-CN"/>
        </w:rPr>
      </w:pPr>
      <w:r>
        <w:rPr>
          <w:rFonts w:hint="eastAsia" w:ascii="Times New Roman" w:hAnsi="Times New Roman" w:eastAsia="方正小标宋_GBK" w:cs="Times New Roman"/>
          <w:kern w:val="0"/>
          <w:sz w:val="36"/>
          <w:szCs w:val="36"/>
          <w:lang w:eastAsia="zh-CN"/>
        </w:rPr>
        <w:drawing>
          <wp:inline distT="0" distB="0" distL="114300" distR="114300">
            <wp:extent cx="7429500" cy="5715000"/>
            <wp:effectExtent l="0" t="0" r="0" b="0"/>
            <wp:docPr id="5" name="图片 5" descr="公开05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公开05表"/>
                    <pic:cNvPicPr>
                      <a:picLocks noChangeAspect="1"/>
                    </pic:cNvPicPr>
                  </pic:nvPicPr>
                  <pic:blipFill>
                    <a:blip r:embed="rId8"/>
                    <a:stretch>
                      <a:fillRect/>
                    </a:stretch>
                  </pic:blipFill>
                  <pic:spPr>
                    <a:xfrm>
                      <a:off x="0" y="0"/>
                      <a:ext cx="7429500" cy="5715000"/>
                    </a:xfrm>
                    <a:prstGeom prst="rect">
                      <a:avLst/>
                    </a:prstGeom>
                  </pic:spPr>
                </pic:pic>
              </a:graphicData>
            </a:graphic>
          </wp:inline>
        </w:drawing>
      </w:r>
    </w:p>
    <w:p>
      <w:pPr>
        <w:widowControl/>
        <w:jc w:val="center"/>
        <w:rPr>
          <w:rFonts w:ascii="Times New Roman" w:hAnsi="Times New Roman" w:eastAsia="方正小标宋_GBK" w:cs="Times New Roman"/>
          <w:kern w:val="0"/>
          <w:sz w:val="36"/>
          <w:szCs w:val="36"/>
        </w:rPr>
      </w:pPr>
    </w:p>
    <w:bookmarkEnd w:id="1"/>
    <w:tbl>
      <w:tblPr>
        <w:tblStyle w:val="6"/>
        <w:tblW w:w="0" w:type="auto"/>
        <w:tblInd w:w="0" w:type="dxa"/>
        <w:tblLayout w:type="autofit"/>
        <w:tblCellMar>
          <w:top w:w="0" w:type="dxa"/>
          <w:left w:w="108" w:type="dxa"/>
          <w:bottom w:w="0" w:type="dxa"/>
          <w:right w:w="108" w:type="dxa"/>
        </w:tblCellMar>
      </w:tblPr>
      <w:tblGrid>
        <w:gridCol w:w="15606"/>
      </w:tblGrid>
      <w:tr>
        <w:tblPrEx>
          <w:tblCellMar>
            <w:top w:w="0" w:type="dxa"/>
            <w:left w:w="108" w:type="dxa"/>
            <w:bottom w:w="0" w:type="dxa"/>
            <w:right w:w="108" w:type="dxa"/>
          </w:tblCellMar>
        </w:tblPrEx>
        <w:trPr>
          <w:trHeight w:val="113" w:hRule="atLeast"/>
        </w:trPr>
        <w:tc>
          <w:tcPr>
            <w:tcW w:w="0" w:type="auto"/>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Cs w:val="32"/>
              </w:rPr>
            </w:pPr>
            <w:bookmarkStart w:id="2" w:name="RANGE!A1:I34"/>
          </w:p>
          <w:p>
            <w:pPr>
              <w:widowControl/>
              <w:jc w:val="center"/>
              <w:rPr>
                <w:rFonts w:hint="eastAsia" w:ascii="华文中宋" w:hAnsi="华文中宋" w:eastAsia="华文中宋" w:cs="宋体"/>
                <w:color w:val="000000"/>
                <w:kern w:val="0"/>
                <w:szCs w:val="32"/>
              </w:rPr>
            </w:pPr>
          </w:p>
          <w:p>
            <w:pPr>
              <w:widowControl/>
              <w:jc w:val="center"/>
              <w:rPr>
                <w:rFonts w:hint="eastAsia" w:ascii="华文中宋" w:hAnsi="华文中宋" w:eastAsia="华文中宋" w:cs="宋体"/>
                <w:color w:val="000000"/>
                <w:kern w:val="0"/>
                <w:szCs w:val="32"/>
                <w:lang w:eastAsia="zh-CN"/>
              </w:rPr>
            </w:pPr>
            <w:r>
              <w:rPr>
                <w:rFonts w:hint="eastAsia" w:ascii="华文中宋" w:hAnsi="华文中宋" w:eastAsia="华文中宋" w:cs="宋体"/>
                <w:color w:val="000000"/>
                <w:kern w:val="0"/>
                <w:szCs w:val="32"/>
                <w:lang w:eastAsia="zh-CN"/>
              </w:rPr>
              <w:drawing>
                <wp:inline distT="0" distB="0" distL="114300" distR="114300">
                  <wp:extent cx="9770745" cy="5735320"/>
                  <wp:effectExtent l="0" t="0" r="1905" b="17780"/>
                  <wp:docPr id="6" name="图片 6" descr="公开06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公开06表"/>
                          <pic:cNvPicPr>
                            <a:picLocks noChangeAspect="1"/>
                          </pic:cNvPicPr>
                        </pic:nvPicPr>
                        <pic:blipFill>
                          <a:blip r:embed="rId9"/>
                          <a:stretch>
                            <a:fillRect/>
                          </a:stretch>
                        </pic:blipFill>
                        <pic:spPr>
                          <a:xfrm>
                            <a:off x="0" y="0"/>
                            <a:ext cx="9770745" cy="5735320"/>
                          </a:xfrm>
                          <a:prstGeom prst="rect">
                            <a:avLst/>
                          </a:prstGeom>
                        </pic:spPr>
                      </pic:pic>
                    </a:graphicData>
                  </a:graphic>
                </wp:inline>
              </w:drawing>
            </w:r>
          </w:p>
          <w:p>
            <w:pPr>
              <w:widowControl/>
              <w:jc w:val="center"/>
              <w:rPr>
                <w:rFonts w:hint="eastAsia" w:ascii="华文中宋" w:hAnsi="华文中宋" w:eastAsia="华文中宋" w:cs="宋体"/>
                <w:color w:val="000000"/>
                <w:kern w:val="0"/>
                <w:szCs w:val="32"/>
              </w:rPr>
            </w:pPr>
          </w:p>
          <w:p>
            <w:pPr>
              <w:widowControl/>
              <w:jc w:val="center"/>
              <w:rPr>
                <w:rFonts w:hint="eastAsia" w:ascii="华文中宋" w:hAnsi="华文中宋" w:eastAsia="华文中宋" w:cs="宋体"/>
                <w:color w:val="000000"/>
                <w:kern w:val="0"/>
                <w:szCs w:val="32"/>
              </w:rPr>
            </w:pPr>
          </w:p>
          <w:p>
            <w:pPr>
              <w:widowControl/>
              <w:jc w:val="center"/>
              <w:rPr>
                <w:rFonts w:hint="eastAsia" w:ascii="华文中宋" w:hAnsi="华文中宋" w:eastAsia="华文中宋" w:cs="宋体"/>
                <w:color w:val="000000"/>
                <w:kern w:val="0"/>
                <w:szCs w:val="32"/>
              </w:rPr>
            </w:pPr>
          </w:p>
          <w:p>
            <w:pPr>
              <w:widowControl/>
              <w:jc w:val="center"/>
              <w:rPr>
                <w:rFonts w:hint="eastAsia" w:ascii="华文中宋" w:hAnsi="华文中宋" w:eastAsia="华文中宋" w:cs="宋体"/>
                <w:color w:val="000000"/>
                <w:kern w:val="0"/>
                <w:szCs w:val="32"/>
              </w:rPr>
            </w:pPr>
          </w:p>
          <w:p>
            <w:pPr>
              <w:widowControl/>
              <w:jc w:val="center"/>
              <w:rPr>
                <w:rFonts w:hint="eastAsia" w:ascii="华文中宋" w:hAnsi="华文中宋" w:eastAsia="华文中宋" w:cs="宋体"/>
                <w:color w:val="000000"/>
                <w:kern w:val="0"/>
                <w:szCs w:val="32"/>
              </w:rPr>
            </w:pPr>
          </w:p>
          <w:p>
            <w:pPr>
              <w:widowControl/>
              <w:jc w:val="center"/>
              <w:rPr>
                <w:rFonts w:hint="eastAsia" w:ascii="华文中宋" w:hAnsi="华文中宋" w:eastAsia="华文中宋" w:cs="宋体"/>
                <w:color w:val="000000"/>
                <w:kern w:val="0"/>
                <w:szCs w:val="32"/>
              </w:rPr>
            </w:pPr>
          </w:p>
          <w:p>
            <w:pPr>
              <w:widowControl/>
              <w:jc w:val="center"/>
              <w:rPr>
                <w:rFonts w:hint="eastAsia" w:ascii="华文中宋" w:hAnsi="华文中宋" w:eastAsia="华文中宋" w:cs="宋体"/>
                <w:color w:val="000000"/>
                <w:kern w:val="0"/>
                <w:szCs w:val="32"/>
              </w:rPr>
            </w:pPr>
          </w:p>
          <w:p>
            <w:pPr>
              <w:widowControl/>
              <w:jc w:val="center"/>
              <w:rPr>
                <w:rFonts w:hint="eastAsia" w:ascii="华文中宋" w:hAnsi="华文中宋" w:eastAsia="华文中宋" w:cs="宋体"/>
                <w:color w:val="000000"/>
                <w:kern w:val="0"/>
                <w:szCs w:val="32"/>
              </w:rPr>
            </w:pPr>
          </w:p>
          <w:bookmarkEnd w:id="2"/>
          <w:p>
            <w:pPr>
              <w:widowControl/>
              <w:wordWrap/>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drawing>
                <wp:inline distT="0" distB="0" distL="114300" distR="114300">
                  <wp:extent cx="9762490" cy="2021840"/>
                  <wp:effectExtent l="0" t="0" r="10160" b="16510"/>
                  <wp:docPr id="7" name="图片 7" descr="公开07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公开07表"/>
                          <pic:cNvPicPr>
                            <a:picLocks noChangeAspect="1"/>
                          </pic:cNvPicPr>
                        </pic:nvPicPr>
                        <pic:blipFill>
                          <a:blip r:embed="rId10"/>
                          <a:stretch>
                            <a:fillRect/>
                          </a:stretch>
                        </pic:blipFill>
                        <pic:spPr>
                          <a:xfrm>
                            <a:off x="0" y="0"/>
                            <a:ext cx="9762490" cy="2021840"/>
                          </a:xfrm>
                          <a:prstGeom prst="rect">
                            <a:avLst/>
                          </a:prstGeom>
                        </pic:spPr>
                      </pic:pic>
                    </a:graphicData>
                  </a:graphic>
                </wp:inline>
              </w:drawing>
            </w: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center"/>
        <w:rPr>
          <w:rFonts w:hint="eastAsia" w:ascii="宋体" w:eastAsia="宋体" w:cs="宋体"/>
          <w:kern w:val="0"/>
          <w:sz w:val="24"/>
          <w:szCs w:val="24"/>
          <w:lang w:eastAsia="zh-CN"/>
        </w:rPr>
      </w:pPr>
      <w:r>
        <w:rPr>
          <w:rFonts w:hint="eastAsia" w:ascii="宋体" w:eastAsia="宋体" w:cs="宋体"/>
          <w:kern w:val="0"/>
          <w:sz w:val="24"/>
          <w:szCs w:val="24"/>
          <w:lang w:eastAsia="zh-CN"/>
        </w:rPr>
        <w:drawing>
          <wp:inline distT="0" distB="0" distL="114300" distR="114300">
            <wp:extent cx="9544050" cy="3067050"/>
            <wp:effectExtent l="0" t="0" r="0" b="0"/>
            <wp:docPr id="8" name="图片 8" descr="公开08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公开08表"/>
                    <pic:cNvPicPr>
                      <a:picLocks noChangeAspect="1"/>
                    </pic:cNvPicPr>
                  </pic:nvPicPr>
                  <pic:blipFill>
                    <a:blip r:embed="rId11"/>
                    <a:stretch>
                      <a:fillRect/>
                    </a:stretch>
                  </pic:blipFill>
                  <pic:spPr>
                    <a:xfrm>
                      <a:off x="0" y="0"/>
                      <a:ext cx="9544050" cy="3067050"/>
                    </a:xfrm>
                    <a:prstGeom prst="rect">
                      <a:avLst/>
                    </a:prstGeom>
                  </pic:spPr>
                </pic:pic>
              </a:graphicData>
            </a:graphic>
          </wp:inline>
        </w:drawing>
      </w:r>
    </w:p>
    <w:p>
      <w:pPr>
        <w:widowControl/>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lang w:val="en-US" w:eastAsia="zh-CN"/>
        </w:rPr>
        <w:t>永州市公安局交通警察支队</w:t>
      </w:r>
      <w:r>
        <w:rPr>
          <w:rFonts w:hint="eastAsia" w:ascii="Times New Roman" w:hAnsi="Times New Roman" w:eastAsia="仿宋_GB2312" w:cs="Times New Roman"/>
          <w:kern w:val="0"/>
          <w:sz w:val="24"/>
          <w:szCs w:val="24"/>
        </w:rPr>
        <w:t>没有政府性基金收入，也没有使用政府性基金安排的支出，故本表无数据</w:t>
      </w:r>
      <w:r>
        <w:rPr>
          <w:rFonts w:ascii="Times New Roman" w:hAnsi="Times New Roman" w:eastAsia="仿宋_GB2312" w:cs="Times New Roman"/>
          <w:kern w:val="0"/>
          <w:sz w:val="24"/>
          <w:szCs w:val="24"/>
        </w:rPr>
        <w:t>)。</w:t>
      </w:r>
    </w:p>
    <w:p>
      <w:pPr>
        <w:widowControl/>
        <w:jc w:val="left"/>
        <w:rPr>
          <w:rFonts w:ascii="黑体" w:hAnsi="黑体" w:eastAsia="黑体"/>
          <w:szCs w:val="21"/>
        </w:rPr>
      </w:pPr>
      <w:r>
        <w:rPr>
          <w:rFonts w:ascii="黑体" w:hAnsi="黑体" w:eastAsia="黑体"/>
          <w:szCs w:val="21"/>
        </w:rPr>
        <w:br w:type="page"/>
      </w:r>
    </w:p>
    <w:p>
      <w:pPr>
        <w:pStyle w:val="10"/>
        <w:rPr>
          <w:sz w:val="72"/>
          <w:szCs w:val="72"/>
        </w:rPr>
      </w:pPr>
    </w:p>
    <w:p>
      <w:pPr>
        <w:pStyle w:val="10"/>
        <w:jc w:val="center"/>
        <w:rPr>
          <w:rFonts w:hint="eastAsia" w:eastAsia="黑体"/>
          <w:sz w:val="72"/>
          <w:szCs w:val="72"/>
          <w:lang w:eastAsia="zh-CN"/>
        </w:rPr>
        <w:sectPr>
          <w:pgSz w:w="16838" w:h="11906" w:orient="landscape"/>
          <w:pgMar w:top="720" w:right="720" w:bottom="720" w:left="720" w:header="851" w:footer="992" w:gutter="0"/>
          <w:cols w:space="425" w:num="1"/>
          <w:docGrid w:type="lines" w:linePitch="312" w:charSpace="0"/>
        </w:sectPr>
      </w:pPr>
      <w:r>
        <w:rPr>
          <w:rFonts w:hint="eastAsia" w:eastAsia="黑体"/>
          <w:sz w:val="72"/>
          <w:szCs w:val="72"/>
          <w:lang w:eastAsia="zh-CN"/>
        </w:rPr>
        <w:drawing>
          <wp:inline distT="0" distB="0" distL="114300" distR="114300">
            <wp:extent cx="6343650" cy="3067050"/>
            <wp:effectExtent l="0" t="0" r="0" b="0"/>
            <wp:docPr id="9" name="图片 9" descr="公开09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公开09表"/>
                    <pic:cNvPicPr>
                      <a:picLocks noChangeAspect="1"/>
                    </pic:cNvPicPr>
                  </pic:nvPicPr>
                  <pic:blipFill>
                    <a:blip r:embed="rId12"/>
                    <a:stretch>
                      <a:fillRect/>
                    </a:stretch>
                  </pic:blipFill>
                  <pic:spPr>
                    <a:xfrm>
                      <a:off x="0" y="0"/>
                      <a:ext cx="6343650" cy="3067050"/>
                    </a:xfrm>
                    <a:prstGeom prst="rect">
                      <a:avLst/>
                    </a:prstGeom>
                  </pic:spPr>
                </pic:pic>
              </a:graphicData>
            </a:graphic>
          </wp:inline>
        </w:drawing>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int="eastAsia" w:asciiTheme="minorEastAsia" w:hAnsiTheme="minorEastAsia" w:eastAsiaTheme="minorEastAsia"/>
          <w:b/>
          <w:bCs/>
          <w:color w:val="auto"/>
          <w:sz w:val="32"/>
          <w:szCs w:val="32"/>
          <w:highlight w:val="yellow"/>
          <w:shd w:val="clear" w:color="auto" w:fill="auto"/>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b w:val="0"/>
          <w:bCs w:val="0"/>
          <w:color w:val="auto"/>
          <w:sz w:val="32"/>
          <w:szCs w:val="32"/>
          <w:highlight w:val="none"/>
          <w:shd w:val="clear" w:color="auto" w:fill="auto"/>
          <w:lang w:eastAsia="zh-CN"/>
        </w:rPr>
      </w:pPr>
      <w:r>
        <w:rPr>
          <w:rFonts w:hint="eastAsia" w:asciiTheme="minorEastAsia" w:hAnsiTheme="minorEastAsia" w:eastAsiaTheme="minorEastAsia"/>
          <w:b w:val="0"/>
          <w:bCs w:val="0"/>
          <w:color w:val="auto"/>
          <w:sz w:val="32"/>
          <w:szCs w:val="32"/>
          <w:highlight w:val="none"/>
          <w:shd w:val="clear" w:color="auto" w:fill="auto"/>
        </w:rPr>
        <w:t>2020年度</w:t>
      </w:r>
      <w:r>
        <w:rPr>
          <w:rFonts w:hint="eastAsia" w:asciiTheme="minorEastAsia" w:hAnsiTheme="minorEastAsia" w:eastAsiaTheme="minorEastAsia"/>
          <w:b w:val="0"/>
          <w:bCs w:val="0"/>
          <w:color w:val="auto"/>
          <w:sz w:val="32"/>
          <w:szCs w:val="32"/>
          <w:highlight w:val="none"/>
          <w:shd w:val="clear" w:color="auto" w:fill="auto"/>
          <w:lang w:eastAsia="zh-CN"/>
        </w:rPr>
        <w:t>收入总计</w:t>
      </w:r>
      <w:r>
        <w:rPr>
          <w:rFonts w:hint="eastAsia" w:asciiTheme="minorEastAsia" w:hAnsiTheme="minorEastAsia" w:eastAsiaTheme="minorEastAsia"/>
          <w:b w:val="0"/>
          <w:bCs w:val="0"/>
          <w:color w:val="auto"/>
          <w:sz w:val="32"/>
          <w:szCs w:val="32"/>
          <w:highlight w:val="none"/>
          <w:shd w:val="clear" w:color="auto" w:fill="auto"/>
          <w:lang w:val="en-US" w:eastAsia="zh-CN"/>
        </w:rPr>
        <w:t>12189.67万元，</w:t>
      </w:r>
      <w:r>
        <w:rPr>
          <w:rFonts w:hint="eastAsia" w:asciiTheme="minorEastAsia" w:hAnsiTheme="minorEastAsia" w:eastAsiaTheme="minorEastAsia"/>
          <w:b w:val="0"/>
          <w:bCs w:val="0"/>
          <w:color w:val="auto"/>
          <w:sz w:val="32"/>
          <w:szCs w:val="32"/>
          <w:highlight w:val="none"/>
          <w:shd w:val="clear" w:color="auto" w:fill="auto"/>
        </w:rPr>
        <w:t>与上年相比，增加</w:t>
      </w:r>
      <w:r>
        <w:rPr>
          <w:rFonts w:hint="eastAsia" w:asciiTheme="minorEastAsia" w:hAnsiTheme="minorEastAsia" w:eastAsiaTheme="minorEastAsia"/>
          <w:b w:val="0"/>
          <w:bCs w:val="0"/>
          <w:color w:val="auto"/>
          <w:sz w:val="32"/>
          <w:szCs w:val="32"/>
          <w:highlight w:val="none"/>
          <w:shd w:val="clear" w:color="auto" w:fill="auto"/>
          <w:lang w:val="en-US" w:eastAsia="zh-CN"/>
        </w:rPr>
        <w:t>776.46</w:t>
      </w:r>
      <w:r>
        <w:rPr>
          <w:rFonts w:hint="eastAsia" w:asciiTheme="minorEastAsia" w:hAnsiTheme="minorEastAsia" w:eastAsiaTheme="minorEastAsia"/>
          <w:b w:val="0"/>
          <w:bCs w:val="0"/>
          <w:color w:val="auto"/>
          <w:sz w:val="32"/>
          <w:szCs w:val="32"/>
          <w:highlight w:val="none"/>
          <w:shd w:val="clear" w:color="auto" w:fill="auto"/>
        </w:rPr>
        <w:t>万元，增长</w:t>
      </w:r>
      <w:r>
        <w:rPr>
          <w:rFonts w:hint="eastAsia" w:asciiTheme="minorEastAsia" w:hAnsiTheme="minorEastAsia" w:eastAsiaTheme="minorEastAsia"/>
          <w:b w:val="0"/>
          <w:bCs w:val="0"/>
          <w:color w:val="auto"/>
          <w:sz w:val="32"/>
          <w:szCs w:val="32"/>
          <w:highlight w:val="none"/>
          <w:shd w:val="clear" w:color="auto" w:fill="auto"/>
          <w:lang w:val="en-US" w:eastAsia="zh-CN"/>
        </w:rPr>
        <w:t>6.8</w:t>
      </w:r>
      <w:r>
        <w:rPr>
          <w:rFonts w:hint="eastAsia" w:asciiTheme="minorEastAsia" w:hAnsiTheme="minorEastAsia" w:eastAsiaTheme="minorEastAsia"/>
          <w:b w:val="0"/>
          <w:bCs w:val="0"/>
          <w:color w:val="auto"/>
          <w:sz w:val="32"/>
          <w:szCs w:val="32"/>
          <w:highlight w:val="none"/>
          <w:shd w:val="clear" w:color="auto" w:fill="auto"/>
        </w:rPr>
        <w:t>%，主要是因为</w:t>
      </w:r>
      <w:r>
        <w:rPr>
          <w:rFonts w:hint="eastAsia" w:asciiTheme="minorEastAsia" w:hAnsiTheme="minorEastAsia" w:eastAsiaTheme="minorEastAsia"/>
          <w:b w:val="0"/>
          <w:bCs w:val="0"/>
          <w:color w:val="auto"/>
          <w:sz w:val="32"/>
          <w:szCs w:val="32"/>
          <w:highlight w:val="none"/>
          <w:shd w:val="clear" w:color="auto" w:fill="auto"/>
          <w:lang w:val="en-US" w:eastAsia="zh-CN"/>
        </w:rPr>
        <w:t>提前下达的专项转移支付资金较上年增多</w:t>
      </w:r>
      <w:r>
        <w:rPr>
          <w:rFonts w:hint="eastAsia" w:asciiTheme="minorEastAsia" w:hAnsiTheme="minorEastAsia" w:eastAsiaTheme="minorEastAsia"/>
          <w:b w:val="0"/>
          <w:bCs w:val="0"/>
          <w:color w:val="auto"/>
          <w:sz w:val="32"/>
          <w:szCs w:val="32"/>
          <w:highlight w:val="none"/>
          <w:shd w:val="clear" w:color="auto" w:fill="auto"/>
          <w:lang w:eastAsia="zh-CN"/>
        </w:rPr>
        <w:t>；支出总计</w:t>
      </w:r>
      <w:r>
        <w:rPr>
          <w:rFonts w:hint="eastAsia" w:asciiTheme="minorEastAsia" w:hAnsiTheme="minorEastAsia" w:eastAsiaTheme="minorEastAsia"/>
          <w:b w:val="0"/>
          <w:bCs w:val="0"/>
          <w:color w:val="auto"/>
          <w:sz w:val="32"/>
          <w:szCs w:val="32"/>
          <w:highlight w:val="none"/>
          <w:shd w:val="clear" w:color="auto" w:fill="auto"/>
          <w:lang w:val="en-US" w:eastAsia="zh-CN"/>
        </w:rPr>
        <w:t>13926.14万元，</w:t>
      </w:r>
      <w:r>
        <w:rPr>
          <w:rFonts w:hint="eastAsia" w:asciiTheme="minorEastAsia" w:hAnsiTheme="minorEastAsia" w:eastAsiaTheme="minorEastAsia"/>
          <w:b w:val="0"/>
          <w:bCs w:val="0"/>
          <w:color w:val="auto"/>
          <w:sz w:val="32"/>
          <w:szCs w:val="32"/>
          <w:highlight w:val="none"/>
          <w:shd w:val="clear" w:color="auto" w:fill="auto"/>
        </w:rPr>
        <w:t>与上年相比，增加</w:t>
      </w:r>
      <w:r>
        <w:rPr>
          <w:rFonts w:hint="eastAsia" w:asciiTheme="minorEastAsia" w:hAnsiTheme="minorEastAsia" w:eastAsiaTheme="minorEastAsia"/>
          <w:b w:val="0"/>
          <w:bCs w:val="0"/>
          <w:color w:val="auto"/>
          <w:sz w:val="32"/>
          <w:szCs w:val="32"/>
          <w:highlight w:val="none"/>
          <w:shd w:val="clear" w:color="auto" w:fill="auto"/>
          <w:lang w:val="en-US" w:eastAsia="zh-CN"/>
        </w:rPr>
        <w:t>1020.15</w:t>
      </w:r>
      <w:r>
        <w:rPr>
          <w:rFonts w:hint="eastAsia" w:asciiTheme="minorEastAsia" w:hAnsiTheme="minorEastAsia" w:eastAsiaTheme="minorEastAsia"/>
          <w:b w:val="0"/>
          <w:bCs w:val="0"/>
          <w:color w:val="auto"/>
          <w:sz w:val="32"/>
          <w:szCs w:val="32"/>
          <w:highlight w:val="none"/>
          <w:shd w:val="clear" w:color="auto" w:fill="auto"/>
        </w:rPr>
        <w:t>万元，增长</w:t>
      </w:r>
      <w:r>
        <w:rPr>
          <w:rFonts w:hint="eastAsia" w:asciiTheme="minorEastAsia" w:hAnsiTheme="minorEastAsia" w:eastAsiaTheme="minorEastAsia"/>
          <w:b w:val="0"/>
          <w:bCs w:val="0"/>
          <w:color w:val="auto"/>
          <w:sz w:val="32"/>
          <w:szCs w:val="32"/>
          <w:highlight w:val="none"/>
          <w:shd w:val="clear" w:color="auto" w:fill="auto"/>
          <w:lang w:val="en-US" w:eastAsia="zh-CN"/>
        </w:rPr>
        <w:t>7.9</w:t>
      </w:r>
      <w:r>
        <w:rPr>
          <w:rFonts w:hint="eastAsia" w:asciiTheme="minorEastAsia" w:hAnsiTheme="minorEastAsia" w:eastAsiaTheme="minorEastAsia"/>
          <w:b w:val="0"/>
          <w:bCs w:val="0"/>
          <w:color w:val="auto"/>
          <w:sz w:val="32"/>
          <w:szCs w:val="32"/>
          <w:highlight w:val="none"/>
          <w:shd w:val="clear" w:color="auto" w:fill="auto"/>
        </w:rPr>
        <w:t>%，主要是因为</w:t>
      </w:r>
      <w:r>
        <w:rPr>
          <w:rFonts w:hint="eastAsia" w:asciiTheme="minorEastAsia" w:hAnsiTheme="minorEastAsia" w:eastAsiaTheme="minorEastAsia"/>
          <w:b w:val="0"/>
          <w:bCs w:val="0"/>
          <w:color w:val="auto"/>
          <w:sz w:val="32"/>
          <w:szCs w:val="32"/>
          <w:highlight w:val="none"/>
          <w:shd w:val="clear" w:color="auto" w:fill="auto"/>
          <w:lang w:val="en-US" w:eastAsia="zh-CN"/>
        </w:rPr>
        <w:t>2019年在全市财政紧缩的情况下，部分工程项目款未在当年进行结算，而是在2020年陆续验收结算</w:t>
      </w:r>
      <w:r>
        <w:rPr>
          <w:rFonts w:hint="eastAsia" w:asciiTheme="minorEastAsia" w:hAnsiTheme="minorEastAsia" w:eastAsiaTheme="minorEastAsia"/>
          <w:b w:val="0"/>
          <w:bCs w:val="0"/>
          <w:color w:val="auto"/>
          <w:sz w:val="32"/>
          <w:szCs w:val="32"/>
          <w:highlight w:val="none"/>
          <w:shd w:val="clear" w:color="auto" w:fill="auto"/>
          <w:lang w:eastAsia="zh-CN"/>
        </w:rPr>
        <w:t>。</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12189.67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8763.23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71.89</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2349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19.27</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1077.44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8.84</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13926.14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7796.69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55.99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6129.45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44.01</w:t>
      </w:r>
      <w:r>
        <w:rPr>
          <w:rFonts w:hint="eastAsia" w:asciiTheme="minorEastAsia" w:hAnsiTheme="minorEastAsia" w:eastAsiaTheme="minorEastAsia"/>
          <w:sz w:val="32"/>
          <w:szCs w:val="32"/>
        </w:rPr>
        <w:t>%；</w:t>
      </w:r>
    </w:p>
    <w:p>
      <w:pPr>
        <w:pStyle w:val="10"/>
        <w:numPr>
          <w:ilvl w:val="0"/>
          <w:numId w:val="2"/>
        </w:numPr>
        <w:rPr>
          <w:rFonts w:hint="eastAsia" w:hAnsi="黑体"/>
          <w:b/>
          <w:sz w:val="32"/>
          <w:szCs w:val="32"/>
        </w:rPr>
      </w:pPr>
      <w:r>
        <w:rPr>
          <w:rFonts w:hint="eastAsia" w:hAnsi="黑体"/>
          <w:b/>
          <w:sz w:val="32"/>
          <w:szCs w:val="32"/>
        </w:rPr>
        <w:t>财政拨款收入支出决算总体情况说明</w:t>
      </w:r>
    </w:p>
    <w:p>
      <w:pPr>
        <w:pStyle w:val="10"/>
        <w:ind w:firstLine="640" w:firstLineChars="2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2020年度财政拨款收</w:t>
      </w:r>
      <w:r>
        <w:rPr>
          <w:rFonts w:hint="eastAsia" w:asciiTheme="minorEastAsia" w:hAnsiTheme="minorEastAsia" w:eastAsiaTheme="minorEastAsia"/>
          <w:sz w:val="32"/>
          <w:szCs w:val="32"/>
          <w:highlight w:val="none"/>
          <w:lang w:val="en-US" w:eastAsia="zh-CN"/>
        </w:rPr>
        <w:t>入</w:t>
      </w:r>
      <w:r>
        <w:rPr>
          <w:rFonts w:hint="eastAsia" w:asciiTheme="minorEastAsia" w:hAnsiTheme="minorEastAsia" w:eastAsiaTheme="minorEastAsia"/>
          <w:sz w:val="32"/>
          <w:szCs w:val="32"/>
          <w:highlight w:val="none"/>
        </w:rPr>
        <w:t>总计</w:t>
      </w:r>
      <w:r>
        <w:rPr>
          <w:rFonts w:hint="eastAsia" w:asciiTheme="minorEastAsia" w:hAnsiTheme="minorEastAsia" w:eastAsiaTheme="minorEastAsia"/>
          <w:sz w:val="32"/>
          <w:szCs w:val="32"/>
          <w:highlight w:val="none"/>
          <w:lang w:val="en-US" w:eastAsia="zh-CN"/>
        </w:rPr>
        <w:t>12516.22</w:t>
      </w:r>
      <w:r>
        <w:rPr>
          <w:rFonts w:hint="eastAsia" w:asciiTheme="minorEastAsia" w:hAnsiTheme="minorEastAsia" w:eastAsiaTheme="minorEastAsia"/>
          <w:sz w:val="32"/>
          <w:szCs w:val="32"/>
          <w:highlight w:val="none"/>
        </w:rPr>
        <w:t>万元，与上年相比，增加</w:t>
      </w:r>
      <w:r>
        <w:rPr>
          <w:rFonts w:hint="eastAsia" w:asciiTheme="minorEastAsia" w:hAnsiTheme="minorEastAsia" w:eastAsiaTheme="minorEastAsia"/>
          <w:sz w:val="32"/>
          <w:szCs w:val="32"/>
          <w:highlight w:val="none"/>
          <w:lang w:val="en-US" w:eastAsia="zh-CN"/>
        </w:rPr>
        <w:t>880.64</w:t>
      </w:r>
      <w:r>
        <w:rPr>
          <w:rFonts w:hint="eastAsia" w:asciiTheme="minorEastAsia" w:hAnsiTheme="minorEastAsia" w:eastAsiaTheme="minorEastAsia"/>
          <w:sz w:val="32"/>
          <w:szCs w:val="32"/>
          <w:highlight w:val="none"/>
        </w:rPr>
        <w:t>万元,增长</w:t>
      </w:r>
      <w:r>
        <w:rPr>
          <w:rFonts w:hint="eastAsia" w:asciiTheme="minorEastAsia" w:hAnsiTheme="minorEastAsia" w:eastAsiaTheme="minorEastAsia"/>
          <w:sz w:val="32"/>
          <w:szCs w:val="32"/>
          <w:highlight w:val="none"/>
          <w:lang w:val="en-US" w:eastAsia="zh-CN"/>
        </w:rPr>
        <w:t>7.57</w:t>
      </w:r>
      <w:r>
        <w:rPr>
          <w:rFonts w:hint="eastAsia" w:asciiTheme="minorEastAsia" w:hAnsiTheme="minorEastAsia" w:eastAsiaTheme="minorEastAsia"/>
          <w:sz w:val="32"/>
          <w:szCs w:val="32"/>
          <w:highlight w:val="none"/>
        </w:rPr>
        <w:t>%，主要是因为</w:t>
      </w:r>
      <w:r>
        <w:rPr>
          <w:rFonts w:hint="eastAsia" w:asciiTheme="minorEastAsia" w:hAnsiTheme="minorEastAsia" w:eastAsiaTheme="minorEastAsia"/>
          <w:sz w:val="32"/>
          <w:szCs w:val="32"/>
          <w:highlight w:val="none"/>
          <w:lang w:val="en-US" w:eastAsia="zh-CN"/>
        </w:rPr>
        <w:t>部分专项资金及转移支付资金较上年增加</w:t>
      </w:r>
      <w:r>
        <w:rPr>
          <w:rFonts w:hint="eastAsia" w:asciiTheme="minorEastAsia" w:hAnsiTheme="minorEastAsia" w:eastAsiaTheme="minorEastAsia"/>
          <w:sz w:val="32"/>
          <w:szCs w:val="32"/>
          <w:highlight w:val="none"/>
          <w:lang w:eastAsia="zh-CN"/>
        </w:rPr>
        <w:t>；支出总计</w:t>
      </w:r>
      <w:r>
        <w:rPr>
          <w:rFonts w:hint="eastAsia" w:asciiTheme="minorEastAsia" w:hAnsiTheme="minorEastAsia" w:eastAsiaTheme="minorEastAsia"/>
          <w:sz w:val="32"/>
          <w:szCs w:val="32"/>
          <w:highlight w:val="none"/>
          <w:lang w:val="en-US" w:eastAsia="zh-CN"/>
        </w:rPr>
        <w:t>12516.22万元，</w:t>
      </w:r>
      <w:r>
        <w:rPr>
          <w:rFonts w:hint="eastAsia" w:asciiTheme="minorEastAsia" w:hAnsiTheme="minorEastAsia" w:eastAsiaTheme="minorEastAsia"/>
          <w:sz w:val="32"/>
          <w:szCs w:val="32"/>
          <w:highlight w:val="none"/>
        </w:rPr>
        <w:t>与上年相比，增加</w:t>
      </w:r>
      <w:r>
        <w:rPr>
          <w:rFonts w:hint="eastAsia" w:asciiTheme="minorEastAsia" w:hAnsiTheme="minorEastAsia" w:eastAsiaTheme="minorEastAsia"/>
          <w:sz w:val="32"/>
          <w:szCs w:val="32"/>
          <w:highlight w:val="none"/>
          <w:lang w:val="en-US" w:eastAsia="zh-CN"/>
        </w:rPr>
        <w:t>880.64</w:t>
      </w:r>
      <w:r>
        <w:rPr>
          <w:rFonts w:hint="eastAsia" w:asciiTheme="minorEastAsia" w:hAnsiTheme="minorEastAsia" w:eastAsiaTheme="minorEastAsia"/>
          <w:sz w:val="32"/>
          <w:szCs w:val="32"/>
          <w:highlight w:val="none"/>
        </w:rPr>
        <w:t>万元，增长</w:t>
      </w:r>
      <w:r>
        <w:rPr>
          <w:rFonts w:hint="eastAsia" w:asciiTheme="minorEastAsia" w:hAnsiTheme="minorEastAsia" w:eastAsiaTheme="minorEastAsia"/>
          <w:sz w:val="32"/>
          <w:szCs w:val="32"/>
          <w:highlight w:val="none"/>
          <w:lang w:val="en-US" w:eastAsia="zh-CN"/>
        </w:rPr>
        <w:t>7.57</w:t>
      </w:r>
      <w:r>
        <w:rPr>
          <w:rFonts w:hint="eastAsia" w:asciiTheme="minorEastAsia" w:hAnsiTheme="minorEastAsia" w:eastAsiaTheme="minorEastAsia"/>
          <w:sz w:val="32"/>
          <w:szCs w:val="32"/>
          <w:highlight w:val="none"/>
        </w:rPr>
        <w:t>%，主要是因为</w:t>
      </w:r>
      <w:r>
        <w:rPr>
          <w:rFonts w:hint="eastAsia" w:asciiTheme="minorEastAsia" w:hAnsiTheme="minorEastAsia" w:eastAsiaTheme="minorEastAsia"/>
          <w:sz w:val="32"/>
          <w:szCs w:val="32"/>
          <w:highlight w:val="none"/>
          <w:lang w:val="en-US" w:eastAsia="zh-CN"/>
        </w:rPr>
        <w:t>2019年度因经费紧张，部分未结算工程款在2020年度进行结算。同时，因“放管服”交管新政的进一步深化，新增部分专用设备开支。</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2020年度财政拨款支出</w:t>
      </w:r>
      <w:r>
        <w:rPr>
          <w:rFonts w:hint="eastAsia" w:asciiTheme="minorEastAsia" w:hAnsiTheme="minorEastAsia" w:eastAsiaTheme="minorEastAsia"/>
          <w:sz w:val="32"/>
          <w:szCs w:val="32"/>
          <w:highlight w:val="none"/>
          <w:lang w:val="en-US" w:eastAsia="zh-CN"/>
        </w:rPr>
        <w:t>12516.22</w:t>
      </w:r>
      <w:r>
        <w:rPr>
          <w:rFonts w:hint="eastAsia" w:asciiTheme="minorEastAsia" w:hAnsiTheme="minorEastAsia" w:eastAsiaTheme="minorEastAsia"/>
          <w:sz w:val="32"/>
          <w:szCs w:val="32"/>
          <w:highlight w:val="none"/>
        </w:rPr>
        <w:t>万元，占本年支出合计的</w:t>
      </w:r>
      <w:r>
        <w:rPr>
          <w:rFonts w:hint="eastAsia" w:asciiTheme="minorEastAsia" w:hAnsiTheme="minorEastAsia" w:eastAsiaTheme="minorEastAsia"/>
          <w:sz w:val="32"/>
          <w:szCs w:val="32"/>
          <w:highlight w:val="none"/>
          <w:lang w:val="en-US" w:eastAsia="zh-CN"/>
        </w:rPr>
        <w:t>89.88</w:t>
      </w:r>
      <w:r>
        <w:rPr>
          <w:rFonts w:hint="eastAsia" w:asciiTheme="minorEastAsia" w:hAnsiTheme="minorEastAsia" w:eastAsiaTheme="minorEastAsia"/>
          <w:sz w:val="32"/>
          <w:szCs w:val="32"/>
          <w:highlight w:val="none"/>
        </w:rPr>
        <w:t>%，与上年相比，财政拨款支出增加</w:t>
      </w:r>
      <w:r>
        <w:rPr>
          <w:rFonts w:hint="eastAsia" w:asciiTheme="minorEastAsia" w:hAnsiTheme="minorEastAsia" w:eastAsiaTheme="minorEastAsia"/>
          <w:sz w:val="32"/>
          <w:szCs w:val="32"/>
          <w:highlight w:val="none"/>
          <w:lang w:val="en-US" w:eastAsia="zh-CN"/>
        </w:rPr>
        <w:t>1243.52</w:t>
      </w:r>
      <w:r>
        <w:rPr>
          <w:rFonts w:hint="eastAsia" w:asciiTheme="minorEastAsia" w:hAnsiTheme="minorEastAsia" w:eastAsiaTheme="minorEastAsia"/>
          <w:sz w:val="32"/>
          <w:szCs w:val="32"/>
          <w:highlight w:val="none"/>
        </w:rPr>
        <w:t>万元，增长</w:t>
      </w:r>
      <w:r>
        <w:rPr>
          <w:rFonts w:hint="eastAsia" w:asciiTheme="minorEastAsia" w:hAnsiTheme="minorEastAsia" w:eastAsiaTheme="minorEastAsia"/>
          <w:sz w:val="32"/>
          <w:szCs w:val="32"/>
          <w:highlight w:val="none"/>
          <w:lang w:val="en-US" w:eastAsia="zh-CN"/>
        </w:rPr>
        <w:t>11.03</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val="en-US" w:eastAsia="zh-CN"/>
        </w:rPr>
        <w:t>，主要是因为协辅警人员待遇较上年提高，支出增加，同时新增新冠疫情防控经费支出。</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12516.22</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公共安全支出11871.29万元，占94.85%；社会保障和就业支出412.14万元，占3.29%；卫生健康支出182.79万元，占1.46%；交通运输支出50万元，占0.4%。</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2020年度财政拨款支出年初预算数为</w:t>
      </w:r>
      <w:r>
        <w:rPr>
          <w:rFonts w:hint="eastAsia" w:asciiTheme="minorEastAsia" w:hAnsiTheme="minorEastAsia" w:eastAsiaTheme="minorEastAsia"/>
          <w:sz w:val="32"/>
          <w:szCs w:val="32"/>
          <w:highlight w:val="none"/>
          <w:lang w:val="en-US" w:eastAsia="zh-CN"/>
        </w:rPr>
        <w:t>12189.67</w:t>
      </w:r>
      <w:r>
        <w:rPr>
          <w:rFonts w:hint="eastAsia" w:asciiTheme="minorEastAsia" w:hAnsiTheme="minorEastAsia" w:eastAsiaTheme="minorEastAsia"/>
          <w:sz w:val="32"/>
          <w:szCs w:val="32"/>
          <w:highlight w:val="none"/>
        </w:rPr>
        <w:t>万元，支出决算数为</w:t>
      </w:r>
      <w:r>
        <w:rPr>
          <w:rFonts w:hint="eastAsia" w:asciiTheme="minorEastAsia" w:hAnsiTheme="minorEastAsia" w:eastAsiaTheme="minorEastAsia"/>
          <w:sz w:val="32"/>
          <w:szCs w:val="32"/>
          <w:highlight w:val="none"/>
          <w:lang w:val="en-US" w:eastAsia="zh-CN"/>
        </w:rPr>
        <w:t>13926.14</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114.25</w:t>
      </w:r>
      <w:r>
        <w:rPr>
          <w:rFonts w:hint="eastAsia" w:asciiTheme="minorEastAsia" w:hAnsiTheme="minorEastAsia" w:eastAsiaTheme="minorEastAsia"/>
          <w:sz w:val="32"/>
          <w:szCs w:val="32"/>
          <w:highlight w:val="none"/>
        </w:rPr>
        <w:t>%，其中：</w:t>
      </w:r>
    </w:p>
    <w:p>
      <w:pPr>
        <w:pStyle w:val="10"/>
        <w:numPr>
          <w:ilvl w:val="0"/>
          <w:numId w:val="3"/>
        </w:numPr>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行政运行、机关事业单位基本养老保险缴费支出、死亡抚恤、其他社会保障和就业支出、行政单位医疗、公务员医疗补助。</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年初预算数为6000.67万元，支出决算为6668.65万元，完成年初预算的111.13%，决算数大于年初预算数的主要原因是：交警部门作为日常执法较为频繁的部门，自身警力与实际工作强度不匹配，再加之警力老化严重，需聘请协辅警，协辅警基本工资、公用经费、相关保险费用等开支较大。</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ind w:left="0" w:leftChars="0" w:firstLine="800" w:firstLineChars="250"/>
        <w:textAlignment w:val="auto"/>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执法办案。</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年初预算数为1950万元（执法办案经费450万元、提前下达的专项转移支付资金1500万元），支出决算为1689.54万元，完成年初预算的86.64%。决算数小于年初预算数的主要原因是：一是市本级财政紧张，对执法办案经费进行部分削减；二是提前下达的专项转移支付资金是按照科目三考试情况按比例拨付，本单位拨付资金为1040万元，实收资金减少，故支出也相应减少。</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ind w:left="0" w:leftChars="0" w:firstLine="800" w:firstLineChars="250"/>
        <w:textAlignment w:val="auto"/>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事业运行。</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年初预算数为810万元，为机动车驾驶人考场后勤服务中心专项资金，支出决算为378万元，完成年初预算的46.67%，决算数小于年初预算数的主要原因是：随着各县区科目二、科目三分考场的建成和投入使用，机动车驾驶人被大量分流，机动车驾驶人考场后勤服务中心入不敷出，常处于亏损状态，导致上缴财政收入减少，从而导致返还减少。</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ind w:left="0" w:leftChars="0" w:firstLine="800" w:firstLineChars="250"/>
        <w:textAlignment w:val="auto"/>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其他公安支出。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年初预算数为3429万元（非税收入安排的支出2100万元、暂扣车辆停车场租赁费及红绿灯电费180万元、交通设施维护费300万元、提前下达的一般性转移支付资金849万元），支出决算为3730.02万元，完成年初预算的108.78%，决算数大于年初预算数的主要原因是：城市化进程的不断加深致使城市道路连年延伸，配套的交通设施也需装配到位，以保证城市正常、良好、通畅的交通环境，故相应的支出有所增加。</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ind w:left="0" w:leftChars="0" w:firstLine="800" w:firstLineChars="250"/>
        <w:textAlignment w:val="auto"/>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其他公路水路运输支出。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年初预算数为50万元，主要用于顽瘴痼疾交通整治办执法办案经费，支出决算为50万元，完成年初预算的100%，决算数与年初预算数持平的主要原因是：严格按照预算开支，合理安排支出，把钱花在刀刃上以获取专项资金效用最大化。</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7046.66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5875.23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83.38</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机关事业单位基本养老及医疗保险缴费、离退休费、医疗补助费等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1171.43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16.62</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水电费、维护（修）费、租赁费等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487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403.79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82.91</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val="en-US" w:eastAsia="zh-CN"/>
        </w:rPr>
        <w:t>本单位无</w:t>
      </w:r>
      <w:r>
        <w:rPr>
          <w:rFonts w:hint="eastAsia" w:asciiTheme="minorEastAsia" w:hAnsiTheme="minorEastAsia" w:eastAsiaTheme="minorEastAsia"/>
          <w:sz w:val="32"/>
          <w:szCs w:val="32"/>
        </w:rPr>
        <w:t>因公出国（境）费支出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与上年相比数据未发生变化，无变化的主要原因是本单位无</w:t>
      </w:r>
      <w:r>
        <w:rPr>
          <w:rFonts w:hint="eastAsia" w:asciiTheme="minorEastAsia" w:hAnsiTheme="minorEastAsia" w:eastAsiaTheme="minorEastAsia"/>
          <w:sz w:val="32"/>
          <w:szCs w:val="32"/>
        </w:rPr>
        <w:t>因公出国（境）费支出</w:t>
      </w:r>
      <w:r>
        <w:rPr>
          <w:rFonts w:hint="eastAsia" w:asciiTheme="minorEastAsia" w:hAnsiTheme="minorEastAsia" w:eastAsiaTheme="minorEastAsia"/>
          <w:sz w:val="32"/>
          <w:szCs w:val="32"/>
          <w:lang w:eastAsia="zh-CN"/>
        </w:rPr>
        <w:t>。</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6.94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19.83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疫情防控常态化，相应地减少聚集性会议，采用视频会议、电话会议的形式传达工作要求</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0.62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9.81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增长</w:t>
      </w:r>
      <w:r>
        <w:rPr>
          <w:rFonts w:hint="eastAsia" w:asciiTheme="minorEastAsia" w:hAnsiTheme="minorEastAsia" w:eastAsiaTheme="minorEastAsia"/>
          <w:sz w:val="32"/>
          <w:szCs w:val="32"/>
        </w:rPr>
        <w:t>的主要原因是</w:t>
      </w:r>
      <w:r>
        <w:rPr>
          <w:rFonts w:hint="eastAsia" w:asciiTheme="minorEastAsia" w:hAnsiTheme="minorEastAsia" w:eastAsiaTheme="minorEastAsia"/>
          <w:sz w:val="32"/>
          <w:szCs w:val="32"/>
          <w:lang w:val="en-US" w:eastAsia="zh-CN"/>
        </w:rPr>
        <w:t>专项行动开展较上年增多，如顽瘴痼疾精准打击、实战大练兵、春风行动、千灯万带等。</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452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396.84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87.8</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合理配置警力，突出重点，有的放矢，尽量压缩日常</w:t>
      </w:r>
      <w:bookmarkStart w:id="3" w:name="_GoBack"/>
      <w:bookmarkEnd w:id="3"/>
      <w:r>
        <w:rPr>
          <w:rFonts w:hint="eastAsia" w:asciiTheme="minorEastAsia" w:hAnsiTheme="minorEastAsia" w:eastAsiaTheme="minorEastAsia"/>
          <w:sz w:val="32"/>
          <w:szCs w:val="32"/>
          <w:lang w:val="en-US" w:eastAsia="zh-CN"/>
        </w:rPr>
        <w:t>巡逻及出警频次</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140.88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55.04</w:t>
      </w:r>
      <w:r>
        <w:rPr>
          <w:rFonts w:hint="eastAsia" w:asciiTheme="minorEastAsia" w:hAnsiTheme="minorEastAsia" w:eastAsiaTheme="minorEastAsia"/>
          <w:sz w:val="32"/>
          <w:szCs w:val="32"/>
        </w:rPr>
        <w:t>%,增长的主要原因</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一</w:t>
      </w:r>
      <w:r>
        <w:rPr>
          <w:rFonts w:hint="eastAsia" w:asciiTheme="minorEastAsia" w:hAnsiTheme="minorEastAsia" w:eastAsiaTheme="minorEastAsia"/>
          <w:sz w:val="32"/>
          <w:szCs w:val="32"/>
        </w:rPr>
        <w:t>是</w:t>
      </w:r>
      <w:r>
        <w:rPr>
          <w:rFonts w:hint="eastAsia" w:asciiTheme="minorEastAsia" w:hAnsiTheme="minorEastAsia" w:eastAsiaTheme="minorEastAsia"/>
          <w:sz w:val="32"/>
          <w:szCs w:val="32"/>
          <w:lang w:val="en-US" w:eastAsia="zh-CN"/>
        </w:rPr>
        <w:t>2019年实行“紧日子”政策，各项经费紧张，2019年度部分公务用车购置费及运行维护费再在2020年度结算；二是因新冠疫情防控，日常巡逻执勤强度较上年加大</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6.94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1.72</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396.84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98.28</w:t>
      </w:r>
      <w:r>
        <w:rPr>
          <w:rFonts w:hint="eastAsia" w:asciiTheme="minorEastAsia" w:hAnsiTheme="minorEastAsia" w:eastAsiaTheme="minorEastAsia"/>
          <w:sz w:val="32"/>
          <w:szCs w:val="32"/>
        </w:rPr>
        <w:t>%。其中：</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6.94</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513</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春风行动</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交叉检查、顽瘴痼疾督查、缉查布控、事故复核、交管宣传等</w:t>
      </w:r>
      <w:r>
        <w:rPr>
          <w:rFonts w:hint="eastAsia" w:asciiTheme="minorEastAsia" w:hAnsiTheme="minorEastAsia" w:eastAsiaTheme="minorEastAsia"/>
          <w:sz w:val="32"/>
          <w:szCs w:val="32"/>
        </w:rPr>
        <w:t>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lang w:val="en-US" w:eastAsia="zh-CN"/>
        </w:rPr>
        <w:t xml:space="preserve"> </w:t>
      </w: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396.84</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90.1</w:t>
      </w:r>
      <w:r>
        <w:rPr>
          <w:rFonts w:hint="eastAsia" w:asciiTheme="minorEastAsia" w:hAnsiTheme="minorEastAsia"/>
          <w:sz w:val="32"/>
          <w:szCs w:val="32"/>
        </w:rPr>
        <w:t>万元，</w:t>
      </w:r>
      <w:r>
        <w:rPr>
          <w:rFonts w:hint="eastAsia" w:asciiTheme="minorEastAsia" w:hAnsiTheme="minorEastAsia"/>
          <w:sz w:val="32"/>
          <w:szCs w:val="32"/>
          <w:lang w:val="en-US" w:eastAsia="zh-CN"/>
        </w:rPr>
        <w:t>支队本级、冷水滩大队、凤凰园大队共</w:t>
      </w:r>
      <w:r>
        <w:rPr>
          <w:rFonts w:hint="eastAsia" w:asciiTheme="minorEastAsia" w:hAnsiTheme="minorEastAsia"/>
          <w:sz w:val="32"/>
          <w:szCs w:val="32"/>
        </w:rPr>
        <w:t>更新</w:t>
      </w:r>
      <w:r>
        <w:rPr>
          <w:rFonts w:hint="eastAsia" w:asciiTheme="minorEastAsia" w:hAnsiTheme="minorEastAsia"/>
          <w:sz w:val="32"/>
          <w:szCs w:val="32"/>
          <w:lang w:val="en-US" w:eastAsia="zh-CN"/>
        </w:rPr>
        <w:t>执法执勤用</w:t>
      </w:r>
      <w:r>
        <w:rPr>
          <w:rFonts w:hint="eastAsia" w:asciiTheme="minorEastAsia" w:hAnsiTheme="minorEastAsia"/>
          <w:sz w:val="32"/>
          <w:szCs w:val="32"/>
        </w:rPr>
        <w:t>车</w:t>
      </w:r>
      <w:r>
        <w:rPr>
          <w:rFonts w:hint="eastAsia" w:asciiTheme="minorEastAsia" w:hAnsiTheme="minorEastAsia"/>
          <w:sz w:val="32"/>
          <w:szCs w:val="32"/>
          <w:lang w:val="en-US" w:eastAsia="zh-CN"/>
        </w:rPr>
        <w:t>6</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306.74</w:t>
      </w:r>
      <w:r>
        <w:rPr>
          <w:rFonts w:hint="eastAsia" w:asciiTheme="minorEastAsia" w:hAnsiTheme="minorEastAsia"/>
          <w:sz w:val="32"/>
          <w:szCs w:val="32"/>
        </w:rPr>
        <w:t>万元，主要是</w:t>
      </w:r>
      <w:r>
        <w:rPr>
          <w:rFonts w:hint="eastAsia" w:asciiTheme="minorEastAsia" w:hAnsiTheme="minorEastAsia"/>
          <w:sz w:val="32"/>
          <w:szCs w:val="32"/>
          <w:lang w:val="en-US" w:eastAsia="zh-CN"/>
        </w:rPr>
        <w:t>燃油费、过桥过路费、修理费、保险费等</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69</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2020年度</w:t>
      </w:r>
      <w:r>
        <w:rPr>
          <w:rFonts w:hint="eastAsia" w:asciiTheme="minorEastAsia" w:hAnsiTheme="minorEastAsia" w:eastAsiaTheme="minorEastAsia"/>
          <w:sz w:val="32"/>
          <w:szCs w:val="32"/>
          <w:lang w:val="en-US" w:eastAsia="zh-CN"/>
        </w:rPr>
        <w:t>本单位无政府性基金收支。</w:t>
      </w:r>
    </w:p>
    <w:p>
      <w:pPr>
        <w:pStyle w:val="10"/>
        <w:rPr>
          <w:rFonts w:hAnsi="黑体"/>
          <w:b/>
          <w:sz w:val="32"/>
          <w:szCs w:val="32"/>
        </w:rPr>
      </w:pPr>
      <w:r>
        <w:rPr>
          <w:rFonts w:hint="eastAsia" w:hAnsi="黑体"/>
          <w:b/>
          <w:sz w:val="32"/>
          <w:szCs w:val="32"/>
        </w:rPr>
        <w:t>九、关于机关运行经费支出说明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1171.43</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42.06</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3.47</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认真贯彻落实中央、省、市“真正过紧日子”的决策部署，助力“六稳”“六保”，强化资金统筹，压减一般性和非重点、非必须支出，严控人员经费，对协辅警进行相应裁员。</w:t>
      </w:r>
    </w:p>
    <w:p>
      <w:pPr>
        <w:pStyle w:val="10"/>
        <w:rPr>
          <w:rFonts w:hAnsi="黑体"/>
          <w:b/>
          <w:sz w:val="32"/>
          <w:szCs w:val="32"/>
        </w:rPr>
      </w:pPr>
      <w:r>
        <w:rPr>
          <w:rFonts w:hint="eastAsia" w:hAnsi="黑体"/>
          <w:b/>
          <w:sz w:val="32"/>
          <w:szCs w:val="32"/>
        </w:rPr>
        <w:t>十、一般性支出情况</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2.56</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全市电动车登记培训工作</w:t>
      </w:r>
      <w:r>
        <w:rPr>
          <w:rFonts w:hint="eastAsia" w:asciiTheme="minorEastAsia" w:hAnsiTheme="minorEastAsia" w:eastAsiaTheme="minorEastAsia"/>
          <w:sz w:val="32"/>
          <w:szCs w:val="32"/>
        </w:rPr>
        <w:t>会议</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两个教育</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座谈会、“放管服”交管新政解读</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约200余</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val="en-US" w:eastAsia="zh-CN"/>
        </w:rPr>
        <w:t>参与会议</w:t>
      </w:r>
      <w:r>
        <w:rPr>
          <w:rFonts w:hint="eastAsia" w:asciiTheme="minorEastAsia" w:hAnsiTheme="minorEastAsia" w:eastAsiaTheme="minorEastAsia"/>
          <w:sz w:val="32"/>
          <w:szCs w:val="32"/>
        </w:rPr>
        <w:t>，内容为</w:t>
      </w:r>
      <w:r>
        <w:rPr>
          <w:rFonts w:hint="eastAsia" w:asciiTheme="minorEastAsia" w:hAnsiTheme="minorEastAsia" w:eastAsiaTheme="minorEastAsia"/>
          <w:sz w:val="32"/>
          <w:szCs w:val="32"/>
          <w:lang w:val="en-US" w:eastAsia="zh-CN"/>
        </w:rPr>
        <w:t>电动车登记上牌、机动车驾驶人违法记分满分教育和审验教育、一站式通办交管业务等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25.04</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警用无人驾驶航空器、新警入警、轮值轮训暨警衔晋升等</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val="en-US" w:eastAsia="zh-CN"/>
        </w:rPr>
        <w:t>左右</w:t>
      </w:r>
      <w:r>
        <w:rPr>
          <w:rFonts w:hint="eastAsia" w:asciiTheme="minorEastAsia" w:hAnsiTheme="minorEastAsia" w:eastAsiaTheme="minorEastAsia"/>
          <w:sz w:val="32"/>
          <w:szCs w:val="32"/>
        </w:rPr>
        <w:t>，内容为</w:t>
      </w:r>
      <w:r>
        <w:rPr>
          <w:rFonts w:hint="eastAsia" w:asciiTheme="minorEastAsia" w:hAnsiTheme="minorEastAsia" w:eastAsiaTheme="minorEastAsia"/>
          <w:sz w:val="32"/>
          <w:szCs w:val="32"/>
          <w:lang w:val="en-US" w:eastAsia="zh-CN"/>
        </w:rPr>
        <w:t>警用无人机驾驶、体能及相关理论学习、公安机关业务技能等。</w:t>
      </w:r>
    </w:p>
    <w:p>
      <w:pPr>
        <w:pStyle w:val="10"/>
        <w:rPr>
          <w:rFonts w:hAnsi="黑体"/>
          <w:b/>
          <w:sz w:val="32"/>
          <w:szCs w:val="32"/>
        </w:rPr>
      </w:pPr>
      <w:r>
        <w:rPr>
          <w:rFonts w:hint="eastAsia" w:hAnsi="黑体"/>
          <w:b/>
          <w:sz w:val="32"/>
          <w:szCs w:val="32"/>
        </w:rPr>
        <w:t>十一、关于政府采购支出说明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本部门2020年度政府采购支出总额2141.10万元，其中：政府采购货物支出516.30万元、政府采购工程支出1588.72万元、政府采购服务支出36.08万元。授予中小企业合同金额391.15万元，占政府采购支出总额的18.27%，其中：授予小微企业合同金额11.12万元，占政府采购支出总额的0.52%。</w:t>
      </w:r>
    </w:p>
    <w:p>
      <w:pPr>
        <w:pStyle w:val="10"/>
        <w:rPr>
          <w:rFonts w:hAnsi="黑体"/>
          <w:b/>
          <w:sz w:val="32"/>
          <w:szCs w:val="32"/>
        </w:rPr>
      </w:pPr>
      <w:r>
        <w:rPr>
          <w:rFonts w:hint="eastAsia" w:hAnsi="黑体"/>
          <w:b/>
          <w:sz w:val="32"/>
          <w:szCs w:val="32"/>
        </w:rPr>
        <w:t>十二、关于国有资产占用情况说明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69</w:t>
      </w:r>
      <w:r>
        <w:rPr>
          <w:rFonts w:hint="eastAsia" w:asciiTheme="minorEastAsia" w:hAnsiTheme="minorEastAsia" w:eastAsiaTheme="minorEastAsia"/>
          <w:sz w:val="32"/>
          <w:szCs w:val="32"/>
        </w:rPr>
        <w:t>辆，其中，应急保障用车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63</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为车辆管理科购入东软SEAS综合档案管理系统用于进行机动车驾驶人档案电子化管理</w:t>
      </w:r>
      <w:r>
        <w:rPr>
          <w:rFonts w:hint="eastAsia" w:asciiTheme="minorEastAsia" w:hAnsiTheme="minorEastAsia" w:eastAsiaTheme="minorEastAsia"/>
          <w:sz w:val="32"/>
          <w:szCs w:val="32"/>
        </w:rPr>
        <w:t>；单位价值100万元以上专用设备</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一是人脸识别支撑服务系统；二是科目三智能化考试车载设备</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十三、关于2020年度预算绩效情况的说明</w:t>
      </w:r>
    </w:p>
    <w:p>
      <w:pPr>
        <w:pStyle w:val="10"/>
        <w:ind w:firstLine="640" w:firstLineChars="200"/>
        <w:rPr>
          <w:rFonts w:hint="default" w:asciiTheme="minorEastAsia" w:hAnsiTheme="minorEastAsia" w:eastAsiaTheme="minorEastAsia"/>
          <w:b/>
          <w:bCs/>
          <w:color w:val="auto"/>
          <w:sz w:val="32"/>
          <w:szCs w:val="32"/>
          <w:highlight w:val="yellow"/>
          <w:lang w:val="en-US" w:eastAsia="zh-CN"/>
        </w:rPr>
      </w:pPr>
      <w:r>
        <w:rPr>
          <w:rFonts w:hint="eastAsia" w:asciiTheme="minorEastAsia" w:hAnsiTheme="minorEastAsia" w:eastAsiaTheme="minorEastAsia"/>
          <w:color w:val="auto"/>
          <w:sz w:val="32"/>
          <w:szCs w:val="32"/>
        </w:rPr>
        <w:t>本部门预算绩效管理开展情况、绩效目标和绩效评价报告</w:t>
      </w:r>
      <w:r>
        <w:rPr>
          <w:rFonts w:hint="eastAsia" w:asciiTheme="minorEastAsia" w:hAnsiTheme="minorEastAsia" w:eastAsiaTheme="minorEastAsia"/>
          <w:color w:val="auto"/>
          <w:sz w:val="32"/>
          <w:szCs w:val="32"/>
          <w:lang w:val="en-US" w:eastAsia="zh-CN"/>
        </w:rPr>
        <w:t>均</w:t>
      </w:r>
      <w:r>
        <w:rPr>
          <w:rFonts w:hint="eastAsia" w:asciiTheme="minorEastAsia" w:hAnsiTheme="minorEastAsia" w:eastAsiaTheme="minorEastAsia"/>
          <w:color w:val="auto"/>
          <w:sz w:val="32"/>
          <w:szCs w:val="32"/>
        </w:rPr>
        <w:t>按照</w:t>
      </w:r>
      <w:r>
        <w:rPr>
          <w:rFonts w:hint="eastAsia" w:asciiTheme="minorEastAsia" w:hAnsiTheme="minorEastAsia" w:eastAsiaTheme="minorEastAsia"/>
          <w:color w:val="auto"/>
          <w:sz w:val="32"/>
          <w:szCs w:val="32"/>
          <w:lang w:val="en-US" w:eastAsia="zh-CN"/>
        </w:rPr>
        <w:t>《关于做好2021年预算绩效目标编审和2020年度财政支出绩效自评工作的通知》（永财绩〔2021〕1号）文件</w:t>
      </w:r>
      <w:r>
        <w:rPr>
          <w:rFonts w:hint="eastAsia" w:asciiTheme="minorEastAsia" w:hAnsiTheme="minorEastAsia" w:eastAsiaTheme="minorEastAsia"/>
          <w:color w:val="auto"/>
          <w:sz w:val="32"/>
          <w:szCs w:val="32"/>
        </w:rPr>
        <w:t>要求公开</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详见第五部分附件。</w:t>
      </w:r>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w:t>
      </w:r>
      <w:r>
        <w:rPr>
          <w:rFonts w:hint="default" w:asciiTheme="minorEastAsia" w:hAnsiTheme="minorEastAsia" w:eastAsiaTheme="minorEastAsia"/>
          <w:sz w:val="32"/>
          <w:szCs w:val="32"/>
          <w:lang w:val="en-US" w:eastAsia="zh-CN"/>
        </w:rPr>
        <w:t>财政拨款收入：指</w:t>
      </w:r>
      <w:r>
        <w:rPr>
          <w:rFonts w:hint="eastAsia" w:asciiTheme="minorEastAsia" w:hAnsiTheme="minorEastAsia" w:eastAsiaTheme="minorEastAsia"/>
          <w:sz w:val="32"/>
          <w:szCs w:val="32"/>
          <w:lang w:val="en-US" w:eastAsia="zh-CN"/>
        </w:rPr>
        <w:t>本年度从本级财政部门取得的财政拨款，包括一般公共预算财政拨款和政府性基金预算财政拨款</w:t>
      </w:r>
      <w:r>
        <w:rPr>
          <w:rFonts w:hint="default" w:asciiTheme="minorEastAsia" w:hAnsiTheme="minorEastAsia" w:eastAsiaTheme="minorEastAsia"/>
          <w:sz w:val="32"/>
          <w:szCs w:val="32"/>
          <w:lang w:val="en-US" w:eastAsia="zh-CN"/>
        </w:rPr>
        <w:t>。</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w:t>
      </w:r>
      <w:r>
        <w:rPr>
          <w:rFonts w:hint="default" w:asciiTheme="minorEastAsia" w:hAnsiTheme="minorEastAsia" w:eastAsiaTheme="minorEastAsia"/>
          <w:sz w:val="32"/>
          <w:szCs w:val="32"/>
          <w:lang w:val="en-US" w:eastAsia="zh-CN"/>
        </w:rPr>
        <w:t>事业收入：指事业单位开展专业业务活动及辅助活动所取得的收入。</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三、</w:t>
      </w:r>
      <w:r>
        <w:rPr>
          <w:rFonts w:hint="default" w:asciiTheme="minorEastAsia" w:hAnsiTheme="minorEastAsia" w:eastAsiaTheme="minorEastAsia"/>
          <w:sz w:val="32"/>
          <w:szCs w:val="32"/>
          <w:lang w:val="en-US" w:eastAsia="zh-CN"/>
        </w:rPr>
        <w:t>经营收入：指事业单位在专业业务活动及其辅助活动之外开展非独立核算经营活动取得的收入。</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四、</w:t>
      </w:r>
      <w:r>
        <w:rPr>
          <w:rFonts w:hint="default" w:asciiTheme="minorEastAsia" w:hAnsiTheme="minorEastAsia" w:eastAsiaTheme="minorEastAsia"/>
          <w:sz w:val="32"/>
          <w:szCs w:val="32"/>
          <w:lang w:val="en-US" w:eastAsia="zh-CN"/>
        </w:rPr>
        <w:t>其他收入：指除上述“财政拨款收入”、“事业收入”、“经营收入”等以外的收入。</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五、</w:t>
      </w:r>
      <w:r>
        <w:rPr>
          <w:rFonts w:hint="default" w:asciiTheme="minorEastAsia" w:hAnsiTheme="minorEastAsia" w:eastAsiaTheme="minorEastAsia"/>
          <w:sz w:val="32"/>
          <w:szCs w:val="32"/>
          <w:lang w:val="en-US" w:eastAsia="zh-CN"/>
        </w:rPr>
        <w:t>年初结转和结余：指以前年度尚未完成、结转到本年</w:t>
      </w:r>
      <w:r>
        <w:rPr>
          <w:rFonts w:hint="eastAsia" w:asciiTheme="minorEastAsia" w:hAnsiTheme="minorEastAsia" w:eastAsiaTheme="minorEastAsia"/>
          <w:sz w:val="32"/>
          <w:szCs w:val="32"/>
          <w:lang w:val="en-US" w:eastAsia="zh-CN"/>
        </w:rPr>
        <w:t>仍</w:t>
      </w:r>
      <w:r>
        <w:rPr>
          <w:rFonts w:hint="default" w:asciiTheme="minorEastAsia" w:hAnsiTheme="minorEastAsia" w:eastAsiaTheme="minorEastAsia"/>
          <w:sz w:val="32"/>
          <w:szCs w:val="32"/>
          <w:lang w:val="en-US" w:eastAsia="zh-CN"/>
        </w:rPr>
        <w:t>按</w:t>
      </w:r>
      <w:r>
        <w:rPr>
          <w:rFonts w:hint="eastAsia" w:asciiTheme="minorEastAsia" w:hAnsiTheme="minorEastAsia" w:eastAsiaTheme="minorEastAsia"/>
          <w:sz w:val="32"/>
          <w:szCs w:val="32"/>
          <w:lang w:val="en-US" w:eastAsia="zh-CN"/>
        </w:rPr>
        <w:t>原规定用途继续使用的资金，或项目已完成等产生的结余资金。</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六、</w:t>
      </w:r>
      <w:r>
        <w:rPr>
          <w:rFonts w:hint="default" w:asciiTheme="minorEastAsia" w:hAnsiTheme="minorEastAsia" w:eastAsiaTheme="minorEastAsia"/>
          <w:sz w:val="32"/>
          <w:szCs w:val="32"/>
          <w:lang w:val="en-US" w:eastAsia="zh-CN"/>
        </w:rPr>
        <w:t>年末结转和结余：指本年度或以前年度预算安排、因客观条件发生变化无法按原计划实施，需要延迟到以后年度按有关规定继续使用的资金。</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七、</w:t>
      </w:r>
      <w:r>
        <w:rPr>
          <w:rFonts w:hint="default" w:asciiTheme="minorEastAsia" w:hAnsiTheme="minorEastAsia" w:eastAsiaTheme="minorEastAsia"/>
          <w:sz w:val="32"/>
          <w:szCs w:val="32"/>
          <w:lang w:val="en-US" w:eastAsia="zh-CN"/>
        </w:rPr>
        <w:t>基本支出：指为保障机构正常运转、完成日常工作任务而发生的人员支出和公用支出。</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八、</w:t>
      </w:r>
      <w:r>
        <w:rPr>
          <w:rFonts w:hint="default" w:asciiTheme="minorEastAsia" w:hAnsiTheme="minorEastAsia" w:eastAsiaTheme="minorEastAsia"/>
          <w:sz w:val="32"/>
          <w:szCs w:val="32"/>
          <w:lang w:val="en-US" w:eastAsia="zh-CN"/>
        </w:rPr>
        <w:t>项目支出：指在基本支出之外为完成特定行政任务和事业发展目标所发生的支出。</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九、</w:t>
      </w:r>
      <w:r>
        <w:rPr>
          <w:rFonts w:hint="default" w:asciiTheme="minorEastAsia" w:hAnsiTheme="minorEastAsia" w:eastAsiaTheme="minorEastAsia"/>
          <w:sz w:val="32"/>
          <w:szCs w:val="32"/>
          <w:lang w:val="en-US" w:eastAsia="zh-CN"/>
        </w:rPr>
        <w:t>“三公”经费：</w:t>
      </w:r>
      <w:r>
        <w:rPr>
          <w:rFonts w:hint="eastAsia" w:asciiTheme="minorEastAsia" w:hAnsiTheme="minorEastAsia" w:eastAsiaTheme="minorEastAsia"/>
          <w:sz w:val="32"/>
          <w:szCs w:val="32"/>
          <w:lang w:val="en-US" w:eastAsia="zh-CN"/>
        </w:rPr>
        <w:t>指部门用财政拨款安排的因公出国（境）费、公务</w:t>
      </w:r>
      <w:r>
        <w:rPr>
          <w:rFonts w:hint="default" w:asciiTheme="minorEastAsia" w:hAnsiTheme="minorEastAsia" w:eastAsiaTheme="minorEastAsia"/>
          <w:sz w:val="32"/>
          <w:szCs w:val="32"/>
          <w:lang w:val="en-US" w:eastAsia="zh-CN"/>
        </w:rPr>
        <w:t>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十、其他交通费：是指单位除公务用车运行维护费以外的其他交通费用。如车辆的燃料费、维修费、过桥过路费、保险费、公务交通补贴等。</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十一、行政</w:t>
      </w:r>
      <w:r>
        <w:rPr>
          <w:rFonts w:hint="default" w:asciiTheme="minorEastAsia" w:hAnsiTheme="minorEastAsia" w:eastAsiaTheme="minorEastAsia"/>
          <w:sz w:val="32"/>
          <w:szCs w:val="32"/>
          <w:lang w:val="en-US" w:eastAsia="zh-CN"/>
        </w:rPr>
        <w:t>运行经费：</w:t>
      </w:r>
      <w:r>
        <w:rPr>
          <w:rFonts w:hint="eastAsia" w:asciiTheme="minorEastAsia" w:hAnsiTheme="minorEastAsia" w:eastAsiaTheme="minorEastAsia"/>
          <w:sz w:val="32"/>
          <w:szCs w:val="32"/>
          <w:lang w:val="en-US" w:eastAsia="zh-CN"/>
        </w:rPr>
        <w:t>指</w:t>
      </w:r>
      <w:r>
        <w:rPr>
          <w:rFonts w:hint="default" w:asciiTheme="minorEastAsia" w:hAnsiTheme="minorEastAsia" w:eastAsiaTheme="minorEastAsia"/>
          <w:sz w:val="32"/>
          <w:szCs w:val="32"/>
          <w:lang w:val="en-US" w:eastAsia="zh-CN"/>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为切实做好2020年度部门整体支出绩效自评工作，提高财政资金使用效益，根据永州市财政局《关于做好2021年预算绩效目标编审和2020年度财政支出绩效自评工作的通知》（永财绩〔2021〕1号）文件精神，结合实际，我单位组织成立了绩效评价工作小组，对我单位2020年部门整体支出进行了绩效自评。评价采用定量分析和定性分析相结合的方法，从预算配置、履职效益、预算管理、职责履行、预算执行情况和财政支出、一般性支出、会议支出、办公经费支出、机构编制、工资管理和内控制度建设以及厉行节约保障措施等方面进行了综合评价。现将绩效自评情况报告如下：</w:t>
      </w:r>
    </w:p>
    <w:p>
      <w:pPr>
        <w:spacing w:line="560" w:lineRule="exact"/>
        <w:ind w:firstLine="640" w:firstLineChars="200"/>
        <w:rPr>
          <w:rFonts w:ascii="黑体" w:hAnsi="黑体" w:eastAsia="黑体" w:cs="黑体"/>
          <w:b/>
          <w:bCs/>
          <w:sz w:val="32"/>
          <w:szCs w:val="32"/>
        </w:rPr>
      </w:pPr>
      <w:r>
        <w:rPr>
          <w:rFonts w:hint="eastAsia" w:ascii="黑体" w:hAnsi="黑体" w:eastAsia="黑体" w:cs="黑体"/>
          <w:b/>
          <w:bCs/>
          <w:sz w:val="32"/>
          <w:szCs w:val="32"/>
        </w:rPr>
        <w:t>一、部门（单位）概况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（一）部门（单位）基本情况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1、主要职能。根据永政办发（1997）9号规定的，支队及其所属四个大队是主管全市道路交通安全和交通秩序以及机动车辆、驾驶员工作的职能部门，隶属市公安局管理。主要职责：</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（1）贯彻执行国家、省、市有关道路交通安全和交通秩序的法律、法规及政策，维护两区道路秩序。</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（2）做好道路交通事故的预防和调处工作，指导基层交通安全组织建设和开展交通安全宣传教育活动。</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（3）实施交通警（保）卫工作，参与处置突发事件，协同其他警种或部门维护公路治安秩序，打击车匪路霸，堵截逃犯及其他犯罪嫌疑人，依法查处乱设卡、乱罚款、乱收费行为。</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（4）做好全市大小车辆及冷、零两区摩托车辆安全检测、牌证发放、改装改型、转籍过户和驾驶员的考试、发证、体检输入工作，及车辆、驾驶员的各类资料建档管理和数据的登记、统计、分类上报工作。</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（5）承办市委、市政府、区委、区政府和上级公安机关交办的其他工作。</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2、机构情况。永州市公安局交警支队内设15个科室，辖5个直属大队（冷水滩大队、凤凰园大队、金洞大队、机动巡逻大队、零陵大队）和考场后勤服务中心（全额拨款事业单位）。</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人员情况。2020年本单位年未实有在职在编人数302人，比上年减少了4人，其中：支队机关117人，零陵大队85人，冷水滩大队50人，凤凰园大队50人。人员变化的主要原因：一是离退休14人，其中：支队机关5人，零陵大队4人，冷水滩大队5人；二是新调入5人，其中：支队机关3人，冷水滩大队1人，凤凰园大队1人。</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（二）部门（单位）整体支出规模、使用方向和主要内容、涉及范围等</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2020年永州市公安局交通警察支队整体支出为13926.14万元，包括基本运行开支7796.69万元（其中人员经费6625.26万元、机关运行经费1171.43万元），主要用于人员经费支出和日常公用经费支出；项目开支6129.45万元（不含考场后勤服务中心），主要用于各业务领域开展正常执法工作开支。</w:t>
      </w:r>
    </w:p>
    <w:p>
      <w:pPr>
        <w:spacing w:line="560" w:lineRule="exact"/>
        <w:ind w:firstLine="640" w:firstLineChars="200"/>
        <w:rPr>
          <w:rFonts w:ascii="黑体" w:hAnsi="黑体" w:eastAsia="黑体" w:cs="黑体"/>
          <w:b/>
          <w:bCs/>
          <w:sz w:val="32"/>
          <w:szCs w:val="32"/>
        </w:rPr>
      </w:pPr>
      <w:r>
        <w:rPr>
          <w:rFonts w:hint="eastAsia" w:ascii="黑体" w:hAnsi="黑体" w:eastAsia="黑体" w:cs="黑体"/>
          <w:b/>
          <w:bCs/>
          <w:sz w:val="32"/>
          <w:szCs w:val="32"/>
        </w:rPr>
        <w:t>二、部门（单位）整体支出管理及使用情况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（一）基本支出</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2020年永州公安局交通警察支队基本支出7796.69万元，包括人员支出6625.26万元，公用支出1171.43万元，其中“三公”经费合计313.68万元，包括公务接待费6.94万元、公务用车购置及运行维护费306.74万元</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（二）专项支出</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1、专项资金安排落实、总投入等情况分析</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2020年市财政安排我支队项目经费5353.81万元，具体包括执法办案经费450万元、非税收入安排的成本性支出2100万元、暂扣车辆停车场租赁费及红绿灯电费180万元、交通设施维护费300万元、中央省政法转移支付补助849万元、科目三考试收入省返还1096.81万元、后勤服务中心非税收入378万元，我支队实际发生项目支出6507.45，项目支出安排率超过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专项资金实际使用情况分析</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我支队专项资金主要用于落实道安办实体化运作，开展平安县区创建，深化道路交通安全管理社会化；推进“城市道路交通文明畅通提升行动计划”，优化城市道路交通组织，推行智能交通管理系统应用；传播自律、包容、文明、礼让的现代文明交通理念，扩大宣传覆盖面和影响力；掌握路面动态，收集一线情报，提高维稳安保、违法打击、布控稽查精准度、高效性；为机动车驾驶人提供更加便民快捷的服务，进一步规范城市交通管理。支出科目多为差旅费、维护（修）费、专用材料费、印刷费等。</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3、专项资金管理情况分析</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我支队专项资金实行专款专用、专项核算，费用支出严格按财务审批程序和会议进程等进行支付。</w:t>
      </w:r>
    </w:p>
    <w:p>
      <w:pPr>
        <w:spacing w:line="560" w:lineRule="exact"/>
        <w:ind w:firstLine="640" w:firstLineChars="200"/>
        <w:rPr>
          <w:rFonts w:ascii="黑体" w:hAnsi="黑体" w:eastAsia="黑体" w:cs="黑体"/>
          <w:b/>
          <w:bCs/>
          <w:sz w:val="32"/>
          <w:szCs w:val="32"/>
        </w:rPr>
      </w:pPr>
      <w:r>
        <w:rPr>
          <w:rFonts w:hint="eastAsia" w:ascii="黑体" w:hAnsi="黑体" w:eastAsia="黑体" w:cs="黑体"/>
          <w:b/>
          <w:bCs/>
          <w:sz w:val="32"/>
          <w:szCs w:val="32"/>
        </w:rPr>
        <w:t>三、部门（单位）专项组织实施情况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（一）专项组织情况分析</w:t>
      </w:r>
    </w:p>
    <w:p>
      <w:pPr>
        <w:pStyle w:val="10"/>
        <w:ind w:firstLine="640" w:firstLineChars="200"/>
        <w:rPr>
          <w:rFonts w:hint="eastAsia"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t>2020年，</w:t>
      </w:r>
      <w:r>
        <w:rPr>
          <w:rFonts w:hint="eastAsia" w:asciiTheme="minorEastAsia" w:hAnsiTheme="minorEastAsia" w:eastAsiaTheme="minorEastAsia"/>
          <w:sz w:val="32"/>
          <w:szCs w:val="32"/>
          <w:lang w:val="en-US" w:eastAsia="zh-CN"/>
        </w:rPr>
        <w:t>在市局党委的坚强领导下，交警支队紧紧围绕坚持创先争优毫不动摇、创新强基只争朝夕和“四个大抓”建设年战略布局，</w:t>
      </w:r>
      <w:r>
        <w:rPr>
          <w:rFonts w:hint="default" w:asciiTheme="minorEastAsia" w:hAnsiTheme="minorEastAsia" w:eastAsiaTheme="minorEastAsia"/>
          <w:sz w:val="32"/>
          <w:szCs w:val="32"/>
          <w:lang w:val="en-US" w:eastAsia="zh-CN"/>
        </w:rPr>
        <w:t>深化县域警务道路交通安全风险防控，</w:t>
      </w:r>
      <w:r>
        <w:rPr>
          <w:rFonts w:hint="eastAsia" w:asciiTheme="minorEastAsia" w:hAnsiTheme="minorEastAsia" w:eastAsiaTheme="minorEastAsia"/>
          <w:sz w:val="32"/>
          <w:szCs w:val="32"/>
          <w:lang w:val="en-US" w:eastAsia="zh-CN"/>
        </w:rPr>
        <w:t>全市</w:t>
      </w:r>
      <w:r>
        <w:rPr>
          <w:rFonts w:hint="default" w:asciiTheme="minorEastAsia" w:hAnsiTheme="minorEastAsia" w:eastAsiaTheme="minorEastAsia"/>
          <w:sz w:val="32"/>
          <w:szCs w:val="32"/>
          <w:lang w:val="en-US" w:eastAsia="zh-CN"/>
        </w:rPr>
        <w:t>道路交通大局稳定</w:t>
      </w:r>
      <w:r>
        <w:rPr>
          <w:rFonts w:hint="eastAsia" w:asciiTheme="minorEastAsia" w:hAnsiTheme="minorEastAsia" w:eastAsiaTheme="minorEastAsia"/>
          <w:sz w:val="32"/>
          <w:szCs w:val="32"/>
          <w:lang w:val="en-US" w:eastAsia="zh-CN"/>
        </w:rPr>
        <w:t>、</w:t>
      </w:r>
      <w:r>
        <w:rPr>
          <w:rFonts w:hint="default" w:asciiTheme="minorEastAsia" w:hAnsiTheme="minorEastAsia" w:eastAsiaTheme="minorEastAsia"/>
          <w:sz w:val="32"/>
          <w:szCs w:val="32"/>
          <w:lang w:val="en-US" w:eastAsia="zh-CN"/>
        </w:rPr>
        <w:t>重要节点平安过渡、疫情防控平稳过关，</w:t>
      </w:r>
      <w:r>
        <w:rPr>
          <w:rFonts w:hint="eastAsia" w:asciiTheme="minorEastAsia" w:hAnsiTheme="minorEastAsia" w:eastAsiaTheme="minorEastAsia"/>
          <w:sz w:val="32"/>
          <w:szCs w:val="32"/>
          <w:lang w:val="en-US" w:eastAsia="zh-CN"/>
        </w:rPr>
        <w:t>为民服务</w:t>
      </w:r>
      <w:r>
        <w:rPr>
          <w:rFonts w:hint="default" w:asciiTheme="minorEastAsia" w:hAnsiTheme="minorEastAsia" w:eastAsiaTheme="minorEastAsia"/>
          <w:sz w:val="32"/>
          <w:szCs w:val="32"/>
          <w:lang w:val="en-US" w:eastAsia="zh-CN"/>
        </w:rPr>
        <w:t>稳步推进，圆满实现“坚决杜绝重特大道路交通事故，坚决遏制较大道路交通事故”工作目标</w:t>
      </w:r>
      <w:r>
        <w:rPr>
          <w:rFonts w:hint="eastAsia" w:asciiTheme="minorEastAsia" w:hAnsiTheme="minorEastAsia" w:eastAsiaTheme="minorEastAsia"/>
          <w:sz w:val="32"/>
          <w:szCs w:val="32"/>
          <w:lang w:val="en-US" w:eastAsia="zh-CN"/>
        </w:rPr>
        <w:t>，未发生涉交赴省进京信访事件，</w:t>
      </w:r>
      <w:r>
        <w:rPr>
          <w:rFonts w:hint="default" w:asciiTheme="minorEastAsia" w:hAnsiTheme="minorEastAsia" w:eastAsiaTheme="minorEastAsia"/>
          <w:sz w:val="32"/>
          <w:szCs w:val="32"/>
          <w:lang w:val="en-US" w:eastAsia="zh-CN"/>
        </w:rPr>
        <w:t>万车死亡率由去年的0.</w:t>
      </w:r>
      <w:r>
        <w:rPr>
          <w:rFonts w:hint="eastAsia" w:asciiTheme="minorEastAsia" w:hAnsiTheme="minorEastAsia" w:eastAsiaTheme="minorEastAsia"/>
          <w:sz w:val="32"/>
          <w:szCs w:val="32"/>
          <w:lang w:val="en-US" w:eastAsia="zh-CN"/>
        </w:rPr>
        <w:t>3</w:t>
      </w:r>
      <w:r>
        <w:rPr>
          <w:rFonts w:hint="default" w:asciiTheme="minorEastAsia" w:hAnsiTheme="minorEastAsia" w:eastAsiaTheme="minorEastAsia"/>
          <w:sz w:val="32"/>
          <w:szCs w:val="32"/>
          <w:lang w:val="en-US" w:eastAsia="zh-CN"/>
        </w:rPr>
        <w:t>8人/万车下降至0.34人/万车。</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（二）专项管理情况分析</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一是深入推进政治统领。始终坚持党的绝对领导，把政治建设放在首位，突出政治引领，把“两个维护”作为最高政治原则和根本政治规矩，进一步增强“四个意识”，坚定“四个自信”，</w:t>
      </w:r>
      <w:r>
        <w:rPr>
          <w:rFonts w:hint="default" w:asciiTheme="minorEastAsia" w:hAnsiTheme="minorEastAsia" w:eastAsiaTheme="minorEastAsia"/>
          <w:sz w:val="32"/>
          <w:szCs w:val="32"/>
          <w:lang w:val="en-US" w:eastAsia="zh-CN"/>
        </w:rPr>
        <w:t>坚决维护习近平总书记党中央的核心、全党的核心地位，坚决维护党中央权威和集中统一领导</w:t>
      </w:r>
      <w:r>
        <w:rPr>
          <w:rFonts w:hint="eastAsia" w:asciiTheme="minorEastAsia" w:hAnsiTheme="minorEastAsia" w:eastAsiaTheme="minorEastAsia"/>
          <w:sz w:val="32"/>
          <w:szCs w:val="32"/>
          <w:lang w:val="en-US" w:eastAsia="zh-CN"/>
        </w:rPr>
        <w:t>，始终以党的旗帜为旗帜、以党的方向为方向、以党的意志为意志，在思想上政治上行动上与党委政府保持高度一致，确保绝对忠诚、绝对纯洁、绝对可靠。坚持用习近平新时代中国特色社会主义思想武装头脑、统一意志，以高度的政治自觉、思想自觉、行动自觉，服从党对公安工作的绝对领导、全面领导。</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二是深入推进事故预防。坚持防控道路交通安全风险，全市道路交通事故明显减少，力争不发生较大以上道路交通事故。把交通问题顽瘴痼疾集中整治作为首要工作贯穿全年，确保顽瘴痼疾全面治理到位。</w:t>
      </w:r>
      <w:r>
        <w:rPr>
          <w:rFonts w:hint="default" w:asciiTheme="minorEastAsia" w:hAnsiTheme="minorEastAsia" w:eastAsiaTheme="minorEastAsia"/>
          <w:sz w:val="32"/>
          <w:szCs w:val="32"/>
          <w:lang w:val="en-US" w:eastAsia="zh-CN"/>
        </w:rPr>
        <w:t>推进《湖南省道路交通安全综合治理提升行动计划（2018—2020）》，</w:t>
      </w:r>
      <w:r>
        <w:rPr>
          <w:rFonts w:hint="eastAsia" w:asciiTheme="minorEastAsia" w:hAnsiTheme="minorEastAsia" w:eastAsiaTheme="minorEastAsia"/>
          <w:sz w:val="32"/>
          <w:szCs w:val="32"/>
          <w:lang w:val="en-US" w:eastAsia="zh-CN"/>
        </w:rPr>
        <w:t>完成</w:t>
      </w:r>
      <w:r>
        <w:rPr>
          <w:rFonts w:hint="default" w:asciiTheme="minorEastAsia" w:hAnsiTheme="minorEastAsia" w:eastAsiaTheme="minorEastAsia"/>
          <w:sz w:val="32"/>
          <w:szCs w:val="32"/>
          <w:lang w:val="en-US" w:eastAsia="zh-CN"/>
        </w:rPr>
        <w:t>平安县区创建，深化道路交通安全管理社会化</w:t>
      </w:r>
      <w:r>
        <w:rPr>
          <w:rFonts w:hint="eastAsia" w:asciiTheme="minorEastAsia" w:hAnsiTheme="minorEastAsia" w:eastAsiaTheme="minorEastAsia"/>
          <w:sz w:val="32"/>
          <w:szCs w:val="32"/>
          <w:lang w:val="en-US" w:eastAsia="zh-CN"/>
        </w:rPr>
        <w:t>。健全农村地区道路交通安全管理体系，推进</w:t>
      </w:r>
      <w:r>
        <w:rPr>
          <w:rFonts w:hint="default" w:asciiTheme="minorEastAsia" w:hAnsiTheme="minorEastAsia" w:eastAsiaTheme="minorEastAsia"/>
          <w:sz w:val="32"/>
          <w:szCs w:val="32"/>
          <w:lang w:val="en-US" w:eastAsia="zh-CN"/>
        </w:rPr>
        <w:t>农村道路交通安全管理信息系统</w:t>
      </w:r>
      <w:r>
        <w:rPr>
          <w:rFonts w:hint="eastAsia" w:asciiTheme="minorEastAsia" w:hAnsiTheme="minorEastAsia" w:eastAsiaTheme="minorEastAsia"/>
          <w:sz w:val="32"/>
          <w:szCs w:val="32"/>
          <w:lang w:val="en-US" w:eastAsia="zh-CN"/>
        </w:rPr>
        <w:t>的</w:t>
      </w:r>
      <w:r>
        <w:rPr>
          <w:rFonts w:hint="default" w:asciiTheme="minorEastAsia" w:hAnsiTheme="minorEastAsia" w:eastAsiaTheme="minorEastAsia"/>
          <w:sz w:val="32"/>
          <w:szCs w:val="32"/>
          <w:lang w:val="en-US" w:eastAsia="zh-CN"/>
        </w:rPr>
        <w:t>推广应用</w:t>
      </w:r>
      <w:r>
        <w:rPr>
          <w:rFonts w:hint="eastAsia" w:asciiTheme="minorEastAsia" w:hAnsiTheme="minorEastAsia" w:eastAsiaTheme="minorEastAsia"/>
          <w:sz w:val="32"/>
          <w:szCs w:val="32"/>
          <w:lang w:val="en-US" w:eastAsia="zh-CN"/>
        </w:rPr>
        <w:t>，规范“一村一辅警”、“两站两员”等管理力量，开展隐患排查、机动车及驾驶人协管、交通安全基础数据采集、路面秩序管控、违法劝导、交通安全宣传等，确保农村道路交通安全。坚持源头管控，严格车辆和驾驶人管理，把好车辆登记注册、检测、报废及驾驶人考试、审验关。</w:t>
      </w:r>
      <w:r>
        <w:rPr>
          <w:rFonts w:hint="default" w:asciiTheme="minorEastAsia" w:hAnsiTheme="minorEastAsia" w:eastAsiaTheme="minorEastAsia"/>
          <w:sz w:val="32"/>
          <w:szCs w:val="32"/>
          <w:lang w:val="en-US" w:eastAsia="zh-CN"/>
        </w:rPr>
        <w:t>探索将交通安全文明知识纳入到小学升初中、初中升高中毕业考试，作为必考内容，专门开设交通安全常识课程，从小培养交通安全常识，提高交通安全意识。</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三是深入推进违法整治。坚持专项治理和系统治理、依法治理、综合治理、源头治理相结合，创新和丰富交通违法整治新机制新手段。坚持严打整治，对“三超四驾”（超员、超速、超载，酒醉驾、毒驾、无牌证驾驶、疲劳驾驶），逾期未报废、未年检、报废车上路，三轮车非法载人、乱停乱放、机动车不礼让斑马线等交通违法行为下重手、出重拳、用重典，</w:t>
      </w:r>
      <w:r>
        <w:rPr>
          <w:rFonts w:hint="default" w:asciiTheme="minorEastAsia" w:hAnsiTheme="minorEastAsia" w:eastAsiaTheme="minorEastAsia"/>
          <w:sz w:val="32"/>
          <w:szCs w:val="32"/>
          <w:lang w:val="en-US" w:eastAsia="zh-CN"/>
        </w:rPr>
        <w:t>重点交通违法“零容忍”、重点车辆违法“清零”、交通违法“零免处”</w:t>
      </w:r>
      <w:r>
        <w:rPr>
          <w:rFonts w:hint="eastAsia" w:asciiTheme="minorEastAsia" w:hAnsiTheme="minorEastAsia" w:eastAsiaTheme="minorEastAsia"/>
          <w:sz w:val="32"/>
          <w:szCs w:val="32"/>
          <w:lang w:val="en-US" w:eastAsia="zh-CN"/>
        </w:rPr>
        <w:t>，重点车辆和驾驶人违法处理到位率达到95%以上。深入推进“六城同创”交通秩序整治，15条示范路交通通行秩序井然、车辆停放有序、行人过街规范，人、车无交通违法行为发生。</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四是深入推进基层基础。加强基层基础建设，正式启动金洞大队营房和事故车辆社会停车场建设，完成回龙圩公安交警正规化、专业化建设，加快全市无房交警中队建设，强化警力保障，优化警务模式，解决制约基层中队发展、影响基层中队战斗力的突出问题。推进</w:t>
      </w:r>
      <w:r>
        <w:rPr>
          <w:rFonts w:hint="default" w:asciiTheme="minorEastAsia" w:hAnsiTheme="minorEastAsia" w:eastAsiaTheme="minorEastAsia"/>
          <w:sz w:val="32"/>
          <w:szCs w:val="32"/>
          <w:lang w:val="en-US" w:eastAsia="zh-CN"/>
        </w:rPr>
        <w:t>“农村派出所管交通”</w:t>
      </w:r>
      <w:r>
        <w:rPr>
          <w:rFonts w:hint="eastAsia" w:asciiTheme="minorEastAsia" w:hAnsiTheme="minorEastAsia" w:eastAsiaTheme="minorEastAsia"/>
          <w:sz w:val="32"/>
          <w:szCs w:val="32"/>
          <w:lang w:val="en-US" w:eastAsia="zh-CN"/>
        </w:rPr>
        <w:t>，健全全市农村派出所协管道路交通安全工作机制。全面落实电动车注册登记工作，实行在派出所、交警中队、街道办事处、乡镇人民政府设立电动自行车登记服务站办理登记业务，在全市逐步推行电动自行车带牌销售，</w:t>
      </w:r>
      <w:r>
        <w:rPr>
          <w:rFonts w:hint="default" w:asciiTheme="minorEastAsia" w:hAnsiTheme="minorEastAsia" w:eastAsiaTheme="minorEastAsia"/>
          <w:sz w:val="32"/>
          <w:szCs w:val="32"/>
          <w:lang w:val="en-US" w:eastAsia="zh-CN"/>
        </w:rPr>
        <w:t>加强警企合作，管好快递、外卖行业电动自行车及驾驶人。</w:t>
      </w:r>
      <w:r>
        <w:rPr>
          <w:rFonts w:hint="eastAsia" w:asciiTheme="minorEastAsia" w:hAnsiTheme="minorEastAsia" w:eastAsiaTheme="minorEastAsia"/>
          <w:sz w:val="32"/>
          <w:szCs w:val="32"/>
          <w:lang w:val="en-US" w:eastAsia="zh-CN"/>
        </w:rPr>
        <w:t>借助市县公安交警视频网络系统，实现市、县两级视频扁平指挥，重大紧急情况、综合研判视频会商。</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五是深入推进便民服务。进一步优化营商环境，</w:t>
      </w:r>
      <w:r>
        <w:rPr>
          <w:rFonts w:hint="default" w:asciiTheme="minorEastAsia" w:hAnsiTheme="minorEastAsia" w:eastAsiaTheme="minorEastAsia"/>
          <w:sz w:val="32"/>
          <w:szCs w:val="32"/>
          <w:lang w:val="en-US" w:eastAsia="zh-CN"/>
        </w:rPr>
        <w:t>为发展提供便利条件</w:t>
      </w:r>
      <w:r>
        <w:rPr>
          <w:rFonts w:hint="eastAsia" w:asciiTheme="minorEastAsia" w:hAnsiTheme="minorEastAsia" w:eastAsiaTheme="minorEastAsia"/>
          <w:sz w:val="32"/>
          <w:szCs w:val="32"/>
          <w:lang w:val="en-US" w:eastAsia="zh-CN"/>
        </w:rPr>
        <w:t>，健全</w:t>
      </w:r>
      <w:r>
        <w:rPr>
          <w:rFonts w:hint="default" w:asciiTheme="minorEastAsia" w:hAnsiTheme="minorEastAsia" w:eastAsiaTheme="minorEastAsia"/>
          <w:sz w:val="32"/>
          <w:szCs w:val="32"/>
          <w:lang w:val="en-US" w:eastAsia="zh-CN"/>
        </w:rPr>
        <w:t>民意主导警务理念，</w:t>
      </w:r>
      <w:r>
        <w:rPr>
          <w:rFonts w:hint="eastAsia" w:asciiTheme="minorEastAsia" w:hAnsiTheme="minorEastAsia" w:eastAsiaTheme="minorEastAsia"/>
          <w:sz w:val="32"/>
          <w:szCs w:val="32"/>
          <w:lang w:val="en-US" w:eastAsia="zh-CN"/>
        </w:rPr>
        <w:t>落实好</w:t>
      </w:r>
      <w:r>
        <w:rPr>
          <w:rFonts w:hint="default" w:asciiTheme="minorEastAsia" w:hAnsiTheme="minorEastAsia" w:eastAsiaTheme="minorEastAsia"/>
          <w:sz w:val="32"/>
          <w:szCs w:val="32"/>
          <w:lang w:val="en-US" w:eastAsia="zh-CN"/>
        </w:rPr>
        <w:t>领导干部</w:t>
      </w:r>
      <w:r>
        <w:rPr>
          <w:rFonts w:hint="eastAsia" w:asciiTheme="minorEastAsia" w:hAnsiTheme="minorEastAsia" w:eastAsiaTheme="minorEastAsia"/>
          <w:sz w:val="32"/>
          <w:szCs w:val="32"/>
          <w:lang w:val="en-US" w:eastAsia="zh-CN"/>
        </w:rPr>
        <w:t>、</w:t>
      </w:r>
      <w:r>
        <w:rPr>
          <w:rFonts w:hint="default" w:asciiTheme="minorEastAsia" w:hAnsiTheme="minorEastAsia" w:eastAsiaTheme="minorEastAsia"/>
          <w:sz w:val="32"/>
          <w:szCs w:val="32"/>
          <w:lang w:val="en-US" w:eastAsia="zh-CN"/>
        </w:rPr>
        <w:t>民警联系</w:t>
      </w:r>
      <w:r>
        <w:rPr>
          <w:rFonts w:hint="eastAsia" w:asciiTheme="minorEastAsia" w:hAnsiTheme="minorEastAsia" w:eastAsiaTheme="minorEastAsia"/>
          <w:sz w:val="32"/>
          <w:szCs w:val="32"/>
          <w:lang w:val="en-US" w:eastAsia="zh-CN"/>
        </w:rPr>
        <w:t>企业、</w:t>
      </w:r>
      <w:r>
        <w:rPr>
          <w:rFonts w:hint="default" w:asciiTheme="minorEastAsia" w:hAnsiTheme="minorEastAsia" w:eastAsiaTheme="minorEastAsia"/>
          <w:sz w:val="32"/>
          <w:szCs w:val="32"/>
          <w:lang w:val="en-US" w:eastAsia="zh-CN"/>
        </w:rPr>
        <w:t>群众制度。</w:t>
      </w:r>
      <w:r>
        <w:rPr>
          <w:rFonts w:hint="eastAsia" w:asciiTheme="minorEastAsia" w:hAnsiTheme="minorEastAsia" w:eastAsiaTheme="minorEastAsia"/>
          <w:sz w:val="32"/>
          <w:szCs w:val="32"/>
          <w:lang w:val="en-US" w:eastAsia="zh-CN"/>
        </w:rPr>
        <w:t>深化“放管服”、“互联网+政务服务”、“一件事一次办”和</w:t>
      </w:r>
      <w:r>
        <w:rPr>
          <w:rFonts w:hint="default" w:asciiTheme="minorEastAsia" w:hAnsiTheme="minorEastAsia" w:eastAsiaTheme="minorEastAsia"/>
          <w:sz w:val="32"/>
          <w:szCs w:val="32"/>
          <w:lang w:val="en-US" w:eastAsia="zh-CN"/>
        </w:rPr>
        <w:t>12123语音服务平台推广应用工作</w:t>
      </w:r>
      <w:r>
        <w:rPr>
          <w:rFonts w:hint="eastAsia" w:asciiTheme="minorEastAsia" w:hAnsiTheme="minorEastAsia" w:eastAsiaTheme="minorEastAsia"/>
          <w:sz w:val="32"/>
          <w:szCs w:val="32"/>
          <w:lang w:val="en-US" w:eastAsia="zh-CN"/>
        </w:rPr>
        <w:t>，进一步研究出台</w:t>
      </w:r>
      <w:r>
        <w:rPr>
          <w:rFonts w:hint="default" w:asciiTheme="minorEastAsia" w:hAnsiTheme="minorEastAsia" w:eastAsiaTheme="minorEastAsia"/>
          <w:sz w:val="32"/>
          <w:szCs w:val="32"/>
          <w:lang w:val="en-US" w:eastAsia="zh-CN"/>
        </w:rPr>
        <w:t>车管、驾管、车检</w:t>
      </w:r>
      <w:r>
        <w:rPr>
          <w:rFonts w:hint="eastAsia" w:asciiTheme="minorEastAsia" w:hAnsiTheme="minorEastAsia" w:eastAsiaTheme="minorEastAsia"/>
          <w:sz w:val="32"/>
          <w:szCs w:val="32"/>
          <w:lang w:val="en-US" w:eastAsia="zh-CN"/>
        </w:rPr>
        <w:t>、事故处理、执勤执法</w:t>
      </w:r>
      <w:r>
        <w:rPr>
          <w:rFonts w:hint="default" w:asciiTheme="minorEastAsia" w:hAnsiTheme="minorEastAsia" w:eastAsiaTheme="minorEastAsia"/>
          <w:sz w:val="32"/>
          <w:szCs w:val="32"/>
          <w:lang w:val="en-US" w:eastAsia="zh-CN"/>
        </w:rPr>
        <w:t>等便民利民举措</w:t>
      </w:r>
      <w:r>
        <w:rPr>
          <w:rFonts w:hint="eastAsia" w:asciiTheme="minorEastAsia" w:hAnsiTheme="minorEastAsia" w:eastAsiaTheme="minorEastAsia"/>
          <w:sz w:val="32"/>
          <w:szCs w:val="32"/>
          <w:lang w:val="en-US" w:eastAsia="zh-CN"/>
        </w:rPr>
        <w:t>和规范化管理</w:t>
      </w:r>
      <w:r>
        <w:rPr>
          <w:rFonts w:hint="default" w:asciiTheme="minorEastAsia" w:hAnsiTheme="minorEastAsia" w:eastAsiaTheme="minorEastAsia"/>
          <w:sz w:val="32"/>
          <w:szCs w:val="32"/>
          <w:lang w:val="en-US" w:eastAsia="zh-CN"/>
        </w:rPr>
        <w:t>，改进服务质量，延伸服务触角，创新服务手段，提高服务水平和能力。</w:t>
      </w:r>
      <w:r>
        <w:rPr>
          <w:rFonts w:hint="eastAsia" w:asciiTheme="minorEastAsia" w:hAnsiTheme="minorEastAsia" w:eastAsiaTheme="minorEastAsia"/>
          <w:sz w:val="32"/>
          <w:szCs w:val="32"/>
          <w:lang w:val="en-US" w:eastAsia="zh-CN"/>
        </w:rPr>
        <w:t>规范</w:t>
      </w:r>
      <w:r>
        <w:rPr>
          <w:rFonts w:hint="default" w:asciiTheme="minorEastAsia" w:hAnsiTheme="minorEastAsia" w:eastAsiaTheme="minorEastAsia"/>
          <w:sz w:val="32"/>
          <w:szCs w:val="32"/>
          <w:lang w:val="en-US" w:eastAsia="zh-CN"/>
        </w:rPr>
        <w:t>社会考场建设，提升考试能力，提高服务水平，保证公平公正。</w:t>
      </w:r>
    </w:p>
    <w:p>
      <w:pPr>
        <w:spacing w:line="560" w:lineRule="exact"/>
        <w:ind w:firstLine="640" w:firstLineChars="200"/>
        <w:rPr>
          <w:rFonts w:hint="eastAsia" w:ascii="黑体" w:hAnsi="黑体" w:eastAsia="黑体" w:cs="黑体"/>
          <w:b/>
          <w:bCs/>
          <w:sz w:val="32"/>
          <w:szCs w:val="32"/>
        </w:rPr>
      </w:pPr>
      <w:r>
        <w:rPr>
          <w:rFonts w:hint="eastAsia" w:ascii="黑体" w:hAnsi="黑体" w:eastAsia="黑体" w:cs="黑体"/>
          <w:b/>
          <w:bCs/>
          <w:sz w:val="32"/>
          <w:szCs w:val="32"/>
        </w:rPr>
        <w:t>四、部门（单位）整体支出绩效情况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是围绕“减量控大”抓事故预防确保不出大事。全面聚焦“减量控大”工作目标，扎实推进“六大提升工程”，强化风险防控，持续加大执法打击力度，2020年全市共发生道路交通事故1090起，死亡477人，受伤1033人，去年同期相比，死亡人数下降2.06%，受伤人数增长5.73%。较大道路交通事故发生数与2019年持平。严格按“五不准”要求做好道路交通事故数据录入，如实核录近两年道路交通事故死亡情况，2019年系统内录入死亡事故493人（含7日外死亡的10人，注：根据省总队事故统计方法，道路交通7日后死亡的不作为事故死亡数录入），另加路外事故、单方事故、上年度事故受伤延至来年死亡等不适于录入系统的的24人，2019年实际死亡517人。</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是做实教育整顿和县域警务确保政治业务双提升。把“坚持政治建警全面从严治警”教育整顿作为队伍自我革命、推进规范化建设的“助推器”，将“九个一”贯穿“学查改”全过程，即：上好一堂专题党课、召开一次民主生活会、观看一场红色教育电影、参观一次红色教育基地、组织一场政治轮训、开展一次廉政教育、进行一次测试、制作一本“口袋书”、撰写一篇心得。目前以支部为单位召开组织生活会13次，填报个人查纠问题报告表218个，查纠问题数量661个，整改问题311个。在做好“规定”动作的同时实现“自选”动作亮彩，坚持每月第一周周四晚全警参加“政治·业务双提升”专题学习，现已开展了10期；对全市39个公安交警执勤岗亭的规范管理情况实行了“最美”“最差”岗亭评比，每月评选、每月通报、每月挂旗；全市所有交通民警统一亮牌亮证、挂牌上岗，做到“一亮三清”，即：亮照片、姓名清、警号清、职务清，主动接受监督。坚持底线思维，对全市182个乡镇街道（30个街道、151个乡镇、1个管理区），按照“事故类、基础类、管理类”3个风险类别，出台《全市乡镇街道道路交通安全风险评估报告》，一类风险乡镇街道52个、二类风险乡镇街道68个、三类风险乡镇街道62个。从今年下半年开始，对每起亡人交通事故，由当地政府组织对事故成因倒查顽瘴痼疾责任，消除安全风险，现已对零陵“4.26”“7.25”、江永“8.18”等13起事故进行了深度调查。</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三是抓好顽瘴痼疾、工程运输车和涉摩涉电违法整治确保交通畅安。按照省整治办方案要求，通过党政统领、部门联动、社会协同，把风险隐患化解在前端，突出问题解决在基层，治理手段压实到部门，顽疾整治取得阶段性胜利，所有交办、自行排查、挂图作战的隐患均100%整治完成；全市12处治超站视频监控数据实时接入公安交警平台，货车入站上线检测率100%，中央台13套频道专题报道江华公安交警对超限超载行为人故意躲避拒绝称重，果断破窗强制执法，称之为“教科书式执法”；176处马路市场整治完毕，99个配套农贸市场已全部建成；8月底，省里下达的156辆高排放车辆淘汰任务全面清零；掀起“永警利剑”严打酒驾醉驾风暴行动，查处酒驾2295起，醉驾1272起。针对工程车运输、涉摩涉电车辆诱发交通事故、危及群众安全的情况，举全警之力开展工程运输车野蛮驾驶、摩托车电动车交通违法“盔·带风暴”整治，至12月底，共查处工程车违法行为2.94万起，查处摩托车电动车现场违法15万起，劝导教育30万余人，全市涉工程车道路交通事故发生率同比下降72.31%，涉摩涉电一般道路交通事故发生数环比下降24.61%。</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四是推进市域社会治理现代化、法治交警、便民服务、疫情防控确保持续性发展。压实市县公安局分管领导、支大队领导连点包保，巡防联控工作责任，每月分解量化执勤指标，带头上路纠违法、查违章，视频留痕、图片留档，层层传导压力，连续两个月未完成指标的由市局分管局长亲自约谈，现已约谈5个县区公安局分管局领导。实现交警、武警、巡特警合成，建成多警联动的“快警巡防平台”，根据人、车流动态变化，灵活机动开展驻点巡逻、疏堵保畅、秩序维护、交通指挥、轻微交通事故处理和学生护学。制定《永州市公安局关于营运车辆违法肇事案件预防和处置意见》，出台“十个一律”举措，对营运车辆违法致人死亡并负主要责任的肇事者一律刑事拘留、一律提请逮捕、一律移送起诉，并以此为根本开展运输企业行业清源，对渣土、水泥矿石运输企业在源头倒查追责问效的力度和准度上下功夫，年内全市营运车辆交通肇事案29起，刑拘29人，刑拘率100%，起诉率100%。推进电动车自行车注册登记，至12月底，完成电动车自行车注册登记508016辆，登记率101.63%。把道安执法与《永州市公安局进一步优化营商环境20条措施》和《永州市公安局服务经济社会民生发展20条措施》有机融合，为经济发展提供硬核力量，所有车驾管业务应放尽放，不落一处、不落一事，年内已实现非营运小型、微型载客汽车档案电子化网上转递等业务，共办理转移14365台，转入8316台，完成审验教育35258人，满分教育8465人，通过网络、短信发布交通安全预警提示信息501万余条，先后两次在市政府、市公安局优化营商环境新闻发布会上发言。面对年初新冠疫情严峻挑战，坚持一手抓疫情防控、一手抓保安保畅，未发生一起较大以上道路交通事故、未发生一起阻碍防控疫情物资运输事件，省厅授予我支队2020年全省公安机关春运疫情防控和交通安保成绩突出单位。</w:t>
      </w:r>
    </w:p>
    <w:p>
      <w:pPr>
        <w:spacing w:line="560" w:lineRule="exact"/>
        <w:ind w:firstLine="640" w:firstLineChars="200"/>
        <w:rPr>
          <w:rFonts w:hint="eastAsia" w:ascii="黑体" w:hAnsi="黑体" w:eastAsia="黑体" w:cs="黑体"/>
          <w:b/>
          <w:bCs/>
          <w:sz w:val="32"/>
          <w:szCs w:val="32"/>
        </w:rPr>
      </w:pPr>
      <w:r>
        <w:rPr>
          <w:rFonts w:hint="eastAsia" w:ascii="黑体" w:hAnsi="黑体" w:eastAsia="黑体" w:cs="黑体"/>
          <w:b/>
          <w:bCs/>
          <w:sz w:val="32"/>
          <w:szCs w:val="32"/>
        </w:rPr>
        <w:t>五、存在的主要问题</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（一）监督管理机制还有待加强。</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（二）财务工作是一个单位的命脉，创新机制正在逐步加强，要求财务工作水平越来越高。</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（三）会计基础工作还需要不断完善，报表数据与实际情况存在小误差。</w:t>
      </w:r>
    </w:p>
    <w:p>
      <w:pPr>
        <w:pStyle w:val="13"/>
        <w:spacing w:line="560" w:lineRule="exact"/>
        <w:ind w:firstLine="643"/>
        <w:rPr>
          <w:rFonts w:hint="eastAsia" w:ascii="黑体" w:hAnsi="黑体" w:eastAsia="黑体" w:cs="黑体"/>
          <w:b/>
          <w:bCs/>
          <w:sz w:val="32"/>
          <w:szCs w:val="32"/>
        </w:rPr>
      </w:pPr>
      <w:r>
        <w:rPr>
          <w:rFonts w:hint="eastAsia" w:ascii="黑体" w:hAnsi="黑体" w:eastAsia="黑体" w:cs="黑体"/>
          <w:b/>
          <w:bCs/>
          <w:sz w:val="32"/>
          <w:szCs w:val="32"/>
        </w:rPr>
        <w:t>六、改进措施和有关建议</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（一)加强监管，做到监管机制环环相扣，不出现断层、漏洞，坚决把权力关进制度的笼子。</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（二）进一步完善财务制度，规范财经纪律。</w:t>
      </w:r>
    </w:p>
    <w:p>
      <w:pPr>
        <w:pStyle w:val="10"/>
        <w:ind w:firstLine="640" w:firstLineChars="200"/>
        <w:rPr>
          <w:rFonts w:cs="黑体" w:asciiTheme="minorEastAsia" w:hAnsiTheme="minorEastAsia"/>
          <w:color w:val="000000"/>
          <w:kern w:val="0"/>
          <w:sz w:val="32"/>
          <w:szCs w:val="32"/>
        </w:rPr>
      </w:pPr>
      <w:r>
        <w:rPr>
          <w:rFonts w:hint="eastAsia" w:asciiTheme="minorEastAsia" w:hAnsiTheme="minorEastAsia" w:eastAsiaTheme="minorEastAsia"/>
          <w:sz w:val="32"/>
          <w:szCs w:val="32"/>
          <w:lang w:val="en-US" w:eastAsia="zh-CN"/>
        </w:rPr>
        <w:t>（三）财务工作人员的业务能力要与时俱进，不断加强学习，市财政局多组织业务方面的理论培训和实操训练。</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C09ACA"/>
    <w:multiLevelType w:val="singleLevel"/>
    <w:tmpl w:val="F9C09ACA"/>
    <w:lvl w:ilvl="0" w:tentative="0">
      <w:start w:val="4"/>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768813"/>
    <w:multiLevelType w:val="singleLevel"/>
    <w:tmpl w:val="73768813"/>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AE31FF"/>
    <w:rsid w:val="03DA45DE"/>
    <w:rsid w:val="05520FFD"/>
    <w:rsid w:val="071A5D98"/>
    <w:rsid w:val="0A2A4939"/>
    <w:rsid w:val="0BC87180"/>
    <w:rsid w:val="0E330078"/>
    <w:rsid w:val="0FD229C8"/>
    <w:rsid w:val="10E105AD"/>
    <w:rsid w:val="130D38FF"/>
    <w:rsid w:val="168742D1"/>
    <w:rsid w:val="17696B7A"/>
    <w:rsid w:val="196E17D6"/>
    <w:rsid w:val="1A6D6ACE"/>
    <w:rsid w:val="1DF57605"/>
    <w:rsid w:val="2063459D"/>
    <w:rsid w:val="22B32FE3"/>
    <w:rsid w:val="24104202"/>
    <w:rsid w:val="2B5C1B3C"/>
    <w:rsid w:val="2BF94A98"/>
    <w:rsid w:val="2CED13D0"/>
    <w:rsid w:val="2F086C0E"/>
    <w:rsid w:val="30C92FF6"/>
    <w:rsid w:val="30EE6BCF"/>
    <w:rsid w:val="33E2241D"/>
    <w:rsid w:val="352713D7"/>
    <w:rsid w:val="3ADF67FE"/>
    <w:rsid w:val="40437D7B"/>
    <w:rsid w:val="44134842"/>
    <w:rsid w:val="45B61923"/>
    <w:rsid w:val="4BB31299"/>
    <w:rsid w:val="4E574CFE"/>
    <w:rsid w:val="52215C89"/>
    <w:rsid w:val="53097F0B"/>
    <w:rsid w:val="54425308"/>
    <w:rsid w:val="56456B9F"/>
    <w:rsid w:val="5ABE094D"/>
    <w:rsid w:val="5CFD2448"/>
    <w:rsid w:val="5D94715D"/>
    <w:rsid w:val="5DCB3372"/>
    <w:rsid w:val="5EF50BFD"/>
    <w:rsid w:val="63C40355"/>
    <w:rsid w:val="64C34602"/>
    <w:rsid w:val="64D7471F"/>
    <w:rsid w:val="662239AD"/>
    <w:rsid w:val="67D369B4"/>
    <w:rsid w:val="6AC85649"/>
    <w:rsid w:val="6B1D332F"/>
    <w:rsid w:val="6E2C6C89"/>
    <w:rsid w:val="75EC3824"/>
    <w:rsid w:val="7E11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hint="eastAsia" w:ascii="微软雅黑" w:hAnsi="微软雅黑" w:eastAsia="微软雅黑"/>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文档正文"/>
    <w:basedOn w:val="1"/>
    <w:qFormat/>
    <w:uiPriority w:val="99"/>
    <w:pPr>
      <w:adjustRightInd w:val="0"/>
      <w:spacing w:line="480" w:lineRule="atLeast"/>
      <w:ind w:firstLine="567" w:firstLineChars="200"/>
      <w:textAlignment w:val="baseline"/>
    </w:pPr>
    <w:rPr>
      <w:rFonts w:ascii="长城仿宋"/>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8</TotalTime>
  <ScaleCrop>false</ScaleCrop>
  <LinksUpToDate>false</LinksUpToDate>
  <CharactersWithSpaces>8753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2021-09-10T03:52:00Z</cp:lastPrinted>
  <dcterms:modified xsi:type="dcterms:W3CDTF">2021-09-16T08:48:40Z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BDE8044252784D0A93C357E342DC4CDF</vt:lpwstr>
  </property>
</Properties>
</file>