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rFonts w:hint="eastAsia"/>
          <w:sz w:val="84"/>
          <w:szCs w:val="84"/>
        </w:rPr>
      </w:pPr>
    </w:p>
    <w:p>
      <w:pPr>
        <w:pStyle w:val="12"/>
        <w:jc w:val="center"/>
        <w:rPr>
          <w:rFonts w:hint="eastAsia"/>
          <w:sz w:val="84"/>
          <w:szCs w:val="84"/>
        </w:rPr>
      </w:pPr>
    </w:p>
    <w:p>
      <w:pPr>
        <w:pStyle w:val="12"/>
        <w:jc w:val="center"/>
        <w:rPr>
          <w:rFonts w:hint="eastAsia"/>
          <w:sz w:val="84"/>
          <w:szCs w:val="84"/>
        </w:rPr>
      </w:pPr>
    </w:p>
    <w:p>
      <w:pPr>
        <w:pStyle w:val="12"/>
        <w:jc w:val="center"/>
        <w:rPr>
          <w:rFonts w:hint="eastAsia"/>
          <w:sz w:val="84"/>
          <w:szCs w:val="84"/>
        </w:rPr>
      </w:pPr>
      <w:r>
        <w:rPr>
          <w:rFonts w:hint="eastAsia"/>
          <w:sz w:val="84"/>
          <w:szCs w:val="84"/>
        </w:rPr>
        <w:t>2020年度</w:t>
      </w:r>
    </w:p>
    <w:p>
      <w:pPr>
        <w:pStyle w:val="12"/>
        <w:jc w:val="center"/>
        <w:rPr>
          <w:rFonts w:hint="eastAsia"/>
          <w:sz w:val="84"/>
          <w:szCs w:val="84"/>
          <w:lang w:eastAsia="zh-CN"/>
        </w:rPr>
      </w:pPr>
      <w:r>
        <w:rPr>
          <w:rFonts w:hint="eastAsia"/>
          <w:sz w:val="84"/>
          <w:szCs w:val="84"/>
          <w:lang w:eastAsia="zh-CN"/>
        </w:rPr>
        <w:t>永州市植保植检站</w:t>
      </w:r>
    </w:p>
    <w:p>
      <w:pPr>
        <w:pStyle w:val="12"/>
        <w:jc w:val="center"/>
        <w:rPr>
          <w:sz w:val="84"/>
          <w:szCs w:val="84"/>
        </w:rPr>
      </w:pPr>
      <w:r>
        <w:rPr>
          <w:rFonts w:hint="eastAsia"/>
          <w:sz w:val="84"/>
          <w:szCs w:val="84"/>
        </w:rPr>
        <w:t>部门决算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spacing w:line="500" w:lineRule="exact"/>
        <w:jc w:val="center"/>
        <w:rPr>
          <w:b/>
          <w:sz w:val="36"/>
          <w:szCs w:val="28"/>
        </w:rPr>
      </w:pPr>
      <w:r>
        <w:rPr>
          <w:rFonts w:hint="eastAsia"/>
          <w:b/>
          <w:sz w:val="36"/>
          <w:szCs w:val="28"/>
        </w:rPr>
        <w:t>目录</w:t>
      </w:r>
    </w:p>
    <w:p>
      <w:pPr>
        <w:pStyle w:val="12"/>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lang w:eastAsia="zh-CN"/>
        </w:rPr>
        <w:t>永州</w:t>
      </w:r>
      <w:r>
        <w:rPr>
          <w:rFonts w:hint="eastAsia"/>
          <w:b/>
          <w:sz w:val="28"/>
          <w:szCs w:val="28"/>
          <w:lang w:val="en-US" w:eastAsia="zh-CN"/>
        </w:rPr>
        <w:t>市植保植检站</w:t>
      </w:r>
      <w:r>
        <w:rPr>
          <w:rFonts w:hint="eastAsia"/>
          <w:b/>
          <w:sz w:val="28"/>
          <w:szCs w:val="28"/>
        </w:rPr>
        <w:t>单位概况</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2"/>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2"/>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2"/>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20年度部门决算情况说明</w:t>
      </w:r>
    </w:p>
    <w:p>
      <w:pPr>
        <w:pStyle w:val="12"/>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2"/>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pStyle w:val="12"/>
        <w:tabs>
          <w:tab w:val="left" w:pos="3359"/>
          <w:tab w:val="left" w:pos="3547"/>
          <w:tab w:val="center" w:pos="5293"/>
        </w:tabs>
        <w:jc w:val="left"/>
        <w:rPr>
          <w:rFonts w:hint="eastAsia"/>
          <w:sz w:val="84"/>
          <w:szCs w:val="84"/>
          <w:lang w:eastAsia="zh-CN"/>
        </w:rPr>
      </w:pPr>
      <w:r>
        <w:rPr>
          <w:rFonts w:hint="eastAsia"/>
          <w:sz w:val="84"/>
          <w:szCs w:val="84"/>
          <w:lang w:eastAsia="zh-CN"/>
        </w:rPr>
        <w:tab/>
      </w:r>
      <w:r>
        <w:rPr>
          <w:rFonts w:hint="eastAsia"/>
          <w:sz w:val="84"/>
          <w:szCs w:val="84"/>
          <w:lang w:eastAsia="zh-CN"/>
        </w:rPr>
        <w:tab/>
      </w:r>
    </w:p>
    <w:p>
      <w:pPr>
        <w:pStyle w:val="12"/>
        <w:tabs>
          <w:tab w:val="left" w:pos="3359"/>
          <w:tab w:val="left" w:pos="3547"/>
          <w:tab w:val="center" w:pos="5293"/>
        </w:tabs>
        <w:jc w:val="left"/>
        <w:rPr>
          <w:rFonts w:hint="eastAsia"/>
          <w:sz w:val="84"/>
          <w:szCs w:val="84"/>
          <w:lang w:eastAsia="zh-CN"/>
        </w:rPr>
      </w:pPr>
    </w:p>
    <w:p>
      <w:pPr>
        <w:pStyle w:val="12"/>
        <w:tabs>
          <w:tab w:val="left" w:pos="3359"/>
          <w:tab w:val="left" w:pos="3547"/>
          <w:tab w:val="center" w:pos="5293"/>
        </w:tabs>
        <w:jc w:val="left"/>
        <w:rPr>
          <w:rFonts w:hint="eastAsia"/>
          <w:sz w:val="84"/>
          <w:szCs w:val="84"/>
          <w:lang w:eastAsia="zh-CN"/>
        </w:rPr>
      </w:pPr>
    </w:p>
    <w:p>
      <w:pPr>
        <w:pStyle w:val="12"/>
        <w:tabs>
          <w:tab w:val="left" w:pos="3359"/>
          <w:tab w:val="left" w:pos="3547"/>
          <w:tab w:val="center" w:pos="5293"/>
        </w:tabs>
        <w:jc w:val="left"/>
        <w:rPr>
          <w:rFonts w:hint="eastAsia"/>
          <w:sz w:val="84"/>
          <w:szCs w:val="84"/>
          <w:lang w:eastAsia="zh-CN"/>
        </w:rPr>
      </w:pPr>
    </w:p>
    <w:p>
      <w:pPr>
        <w:pStyle w:val="12"/>
        <w:tabs>
          <w:tab w:val="left" w:pos="3359"/>
          <w:tab w:val="left" w:pos="3547"/>
          <w:tab w:val="center" w:pos="5293"/>
        </w:tabs>
        <w:jc w:val="left"/>
        <w:rPr>
          <w:rFonts w:hint="eastAsia"/>
          <w:sz w:val="84"/>
          <w:szCs w:val="84"/>
          <w:lang w:eastAsia="zh-CN"/>
        </w:rPr>
      </w:pPr>
    </w:p>
    <w:p>
      <w:pPr>
        <w:pStyle w:val="12"/>
        <w:tabs>
          <w:tab w:val="left" w:pos="3359"/>
          <w:tab w:val="left" w:pos="3547"/>
          <w:tab w:val="center" w:pos="5293"/>
        </w:tabs>
        <w:jc w:val="left"/>
        <w:rPr>
          <w:rFonts w:hint="eastAsia"/>
          <w:sz w:val="84"/>
          <w:szCs w:val="84"/>
          <w:lang w:eastAsia="zh-CN"/>
        </w:rPr>
      </w:pPr>
    </w:p>
    <w:p>
      <w:pPr>
        <w:pStyle w:val="12"/>
        <w:tabs>
          <w:tab w:val="left" w:pos="3359"/>
          <w:tab w:val="left" w:pos="3547"/>
          <w:tab w:val="center" w:pos="5293"/>
        </w:tabs>
        <w:jc w:val="left"/>
        <w:rPr>
          <w:rFonts w:hint="eastAsia"/>
          <w:sz w:val="84"/>
          <w:szCs w:val="84"/>
          <w:lang w:eastAsia="zh-CN"/>
        </w:rPr>
      </w:pPr>
    </w:p>
    <w:p>
      <w:pPr>
        <w:pStyle w:val="12"/>
        <w:tabs>
          <w:tab w:val="left" w:pos="3359"/>
          <w:tab w:val="left" w:pos="3547"/>
          <w:tab w:val="center" w:pos="5293"/>
        </w:tabs>
        <w:jc w:val="left"/>
        <w:rPr>
          <w:rFonts w:hint="eastAsia"/>
          <w:sz w:val="84"/>
          <w:szCs w:val="84"/>
          <w:lang w:eastAsia="zh-CN"/>
        </w:rPr>
      </w:pPr>
    </w:p>
    <w:p>
      <w:pPr>
        <w:pStyle w:val="12"/>
        <w:tabs>
          <w:tab w:val="left" w:pos="3359"/>
          <w:tab w:val="left" w:pos="3547"/>
          <w:tab w:val="center" w:pos="5293"/>
        </w:tabs>
        <w:jc w:val="left"/>
        <w:rPr>
          <w:rFonts w:hint="eastAsia"/>
          <w:sz w:val="84"/>
          <w:szCs w:val="84"/>
          <w:lang w:eastAsia="zh-CN"/>
        </w:rPr>
      </w:pPr>
    </w:p>
    <w:p>
      <w:pPr>
        <w:pStyle w:val="12"/>
        <w:tabs>
          <w:tab w:val="left" w:pos="3359"/>
          <w:tab w:val="left" w:pos="3547"/>
          <w:tab w:val="center" w:pos="5293"/>
        </w:tabs>
        <w:jc w:val="left"/>
        <w:rPr>
          <w:rFonts w:hint="eastAsia"/>
          <w:sz w:val="84"/>
          <w:szCs w:val="84"/>
          <w:lang w:eastAsia="zh-CN"/>
        </w:rPr>
      </w:pPr>
    </w:p>
    <w:p>
      <w:pPr>
        <w:pStyle w:val="12"/>
        <w:tabs>
          <w:tab w:val="left" w:pos="3359"/>
          <w:tab w:val="left" w:pos="3547"/>
          <w:tab w:val="center" w:pos="5293"/>
        </w:tabs>
        <w:jc w:val="left"/>
        <w:rPr>
          <w:rFonts w:hint="eastAsia"/>
          <w:sz w:val="84"/>
          <w:szCs w:val="84"/>
          <w:lang w:eastAsia="zh-CN"/>
        </w:rPr>
      </w:pPr>
    </w:p>
    <w:p>
      <w:pPr>
        <w:pStyle w:val="12"/>
        <w:tabs>
          <w:tab w:val="left" w:pos="3359"/>
          <w:tab w:val="left" w:pos="3547"/>
          <w:tab w:val="center" w:pos="5293"/>
        </w:tabs>
        <w:jc w:val="left"/>
        <w:rPr>
          <w:sz w:val="84"/>
          <w:szCs w:val="84"/>
        </w:rPr>
      </w:pPr>
      <w:r>
        <w:rPr>
          <w:rFonts w:hint="eastAsia"/>
          <w:sz w:val="84"/>
          <w:szCs w:val="84"/>
          <w:lang w:eastAsia="zh-CN"/>
        </w:rPr>
        <w:tab/>
      </w:r>
      <w:r>
        <w:rPr>
          <w:rFonts w:hint="eastAsia"/>
          <w:sz w:val="84"/>
          <w:szCs w:val="84"/>
        </w:rPr>
        <w:t>第一部分</w:t>
      </w:r>
    </w:p>
    <w:p>
      <w:pPr>
        <w:pStyle w:val="12"/>
        <w:jc w:val="center"/>
        <w:rPr>
          <w:sz w:val="72"/>
          <w:szCs w:val="72"/>
        </w:rPr>
      </w:pPr>
      <w:r>
        <w:rPr>
          <w:rFonts w:hint="eastAsia"/>
          <w:sz w:val="72"/>
          <w:szCs w:val="72"/>
          <w:lang w:val="en-US" w:eastAsia="zh-CN"/>
        </w:rPr>
        <w:t>永州市植保植检站</w:t>
      </w:r>
      <w:r>
        <w:rPr>
          <w:rFonts w:hint="eastAsia"/>
          <w:sz w:val="72"/>
          <w:szCs w:val="72"/>
        </w:rPr>
        <w:t>概况</w:t>
      </w:r>
    </w:p>
    <w:p>
      <w:pPr>
        <w:pStyle w:val="13"/>
        <w:numPr>
          <w:ilvl w:val="0"/>
          <w:numId w:val="0"/>
        </w:numPr>
        <w:ind w:leftChars="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widowControl/>
        <w:spacing w:line="600" w:lineRule="exact"/>
        <w:ind w:firstLine="320" w:firstLineChars="100"/>
        <w:rPr>
          <w:rFonts w:hint="eastAsia" w:ascii="仿宋_GB2312" w:hAnsi="仿宋_GB2312" w:cs="仿宋_GB2312" w:eastAsiaTheme="minorEastAsia"/>
          <w:color w:val="000000"/>
          <w:kern w:val="0"/>
          <w:sz w:val="32"/>
          <w:szCs w:val="32"/>
          <w:lang w:val="en-US" w:eastAsia="zh-CN" w:bidi="ar-SA"/>
        </w:rPr>
      </w:pPr>
      <w:r>
        <w:rPr>
          <w:rFonts w:hint="eastAsia" w:ascii="仿宋_GB2312" w:hAnsi="仿宋_GB2312" w:cs="仿宋_GB2312" w:eastAsiaTheme="minorEastAsia"/>
          <w:color w:val="000000"/>
          <w:kern w:val="0"/>
          <w:sz w:val="32"/>
          <w:szCs w:val="32"/>
          <w:lang w:val="en-US" w:eastAsia="zh-CN" w:bidi="ar-SA"/>
        </w:rPr>
        <w:t>市植保植检站主要工作职责是承担着农业部全国农技推广中心和省农业</w:t>
      </w:r>
      <w:r>
        <w:rPr>
          <w:rFonts w:hint="eastAsia" w:ascii="仿宋_GB2312" w:hAnsi="仿宋_GB2312" w:cs="仿宋_GB2312"/>
          <w:color w:val="000000"/>
          <w:kern w:val="0"/>
          <w:sz w:val="32"/>
          <w:szCs w:val="32"/>
          <w:lang w:val="en-US" w:eastAsia="zh-CN" w:bidi="ar-SA"/>
        </w:rPr>
        <w:t>农村厅</w:t>
      </w:r>
      <w:r>
        <w:rPr>
          <w:rFonts w:hint="eastAsia" w:ascii="仿宋_GB2312" w:hAnsi="仿宋_GB2312" w:cs="仿宋_GB2312" w:eastAsiaTheme="minorEastAsia"/>
          <w:color w:val="000000"/>
          <w:kern w:val="0"/>
          <w:sz w:val="32"/>
          <w:szCs w:val="32"/>
          <w:lang w:val="en-US" w:eastAsia="zh-CN" w:bidi="ar-SA"/>
        </w:rPr>
        <w:t>在永州的农业有害生物的监测预报、防治指导、植物保护技术推广、植物检疫等公共服务的植物保护任务，同时承担《永州市突发公共事件总体应急预案》中全市农业生物灾害应急工作。</w:t>
      </w:r>
    </w:p>
    <w:p>
      <w:pPr>
        <w:widowControl/>
        <w:spacing w:line="600" w:lineRule="exact"/>
        <w:rPr>
          <w:rFonts w:hint="eastAsia" w:ascii="宋体" w:hAnsi="宋体" w:eastAsia="宋体" w:cs="宋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320" w:firstLineChars="1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永州市植保植检站系属于参公事业单位，机构一个，为正科级单位，下设财务室、办公室、业务室，我单位编制为9人。</w:t>
      </w:r>
    </w:p>
    <w:p>
      <w:pPr>
        <w:widowControl/>
        <w:numPr>
          <w:ilvl w:val="0"/>
          <w:numId w:val="1"/>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spacing w:line="600" w:lineRule="exact"/>
        <w:ind w:firstLine="320" w:firstLineChars="100"/>
        <w:rPr>
          <w:rFonts w:hint="eastAsia" w:ascii="宋体" w:hAnsi="宋体" w:eastAsia="宋体" w:cs="宋体"/>
          <w:sz w:val="28"/>
          <w:szCs w:val="28"/>
          <w:lang w:val="en-US" w:eastAsia="zh-CN"/>
        </w:rPr>
      </w:pPr>
      <w:r>
        <w:rPr>
          <w:rFonts w:hint="eastAsia" w:ascii="宋体" w:hAnsi="宋体" w:eastAsia="宋体" w:cs="宋体"/>
          <w:sz w:val="32"/>
          <w:szCs w:val="32"/>
          <w:lang w:val="en-US" w:eastAsia="zh-CN"/>
        </w:rPr>
        <w:t>市植保植检站2020年部门决算汇总公开单位构成包括：市植保植检站本级一个。</w:t>
      </w:r>
    </w:p>
    <w:p>
      <w:pPr>
        <w:widowControl/>
        <w:spacing w:line="600" w:lineRule="exact"/>
        <w:ind w:firstLine="280" w:firstLineChars="100"/>
        <w:rPr>
          <w:rFonts w:hint="eastAsia" w:ascii="宋体" w:hAnsi="宋体" w:eastAsia="宋体" w:cs="宋体"/>
          <w:sz w:val="28"/>
          <w:szCs w:val="28"/>
          <w:lang w:val="en-US" w:eastAsia="zh-CN"/>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rFonts w:hint="eastAsia"/>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ascii="仿宋_GB2312" w:hAnsi="仿宋_GB2312" w:eastAsia="仿宋_GB2312" w:cs="仿宋_GB2312"/>
          <w:sz w:val="36"/>
          <w:szCs w:val="36"/>
          <w:lang w:eastAsia="zh-CN"/>
        </w:rPr>
        <w:t>（详见附表）</w:t>
      </w:r>
    </w:p>
    <w:p>
      <w:pPr>
        <w:pStyle w:val="2"/>
        <w:rPr>
          <w:rFonts w:hint="eastAsia"/>
        </w:rPr>
      </w:pPr>
    </w:p>
    <w:p>
      <w:pPr>
        <w:pStyle w:val="2"/>
        <w:rPr>
          <w:rFonts w:hint="eastAsia"/>
          <w:sz w:val="72"/>
          <w:szCs w:val="72"/>
        </w:rPr>
      </w:pPr>
    </w:p>
    <w:p>
      <w:pPr>
        <w:pStyle w:val="2"/>
        <w:rPr>
          <w:rFonts w:hint="eastAsia"/>
          <w:sz w:val="72"/>
          <w:szCs w:val="72"/>
        </w:rPr>
      </w:pPr>
    </w:p>
    <w:p>
      <w:pPr>
        <w:pStyle w:val="2"/>
        <w:rPr>
          <w:rFonts w:hint="eastAsia"/>
          <w:sz w:val="72"/>
          <w:szCs w:val="72"/>
        </w:rPr>
      </w:pPr>
    </w:p>
    <w:p>
      <w:pPr>
        <w:widowControl/>
        <w:spacing w:line="600" w:lineRule="exact"/>
        <w:rPr>
          <w:rFonts w:hint="eastAsia"/>
          <w:sz w:val="72"/>
          <w:szCs w:val="72"/>
        </w:rPr>
      </w:pPr>
    </w:p>
    <w:p>
      <w:pPr>
        <w:pStyle w:val="2"/>
        <w:rPr>
          <w:rFonts w:hint="eastAsia"/>
          <w:sz w:val="72"/>
          <w:szCs w:val="72"/>
        </w:rPr>
      </w:pPr>
    </w:p>
    <w:p>
      <w:pPr>
        <w:pStyle w:val="3"/>
        <w:rPr>
          <w:rFonts w:hint="eastAsia"/>
          <w:sz w:val="72"/>
          <w:szCs w:val="72"/>
        </w:rPr>
      </w:pPr>
    </w:p>
    <w:p>
      <w:pPr>
        <w:pStyle w:val="3"/>
        <w:ind w:left="0" w:leftChars="0" w:firstLine="0" w:firstLineChars="0"/>
        <w:rPr>
          <w:rFonts w:hint="eastAsia"/>
          <w:sz w:val="72"/>
          <w:szCs w:val="72"/>
        </w:rPr>
      </w:pPr>
    </w:p>
    <w:p>
      <w:pPr>
        <w:pStyle w:val="2"/>
        <w:rPr>
          <w:rFonts w:hint="eastAsia"/>
        </w:rPr>
      </w:pPr>
    </w:p>
    <w:p>
      <w:pPr>
        <w:pStyle w:val="2"/>
        <w:rPr>
          <w:rFonts w:hint="eastAsia"/>
        </w:rPr>
      </w:pPr>
    </w:p>
    <w:p>
      <w:pPr>
        <w:pStyle w:val="2"/>
        <w:rPr>
          <w:rFonts w:hint="eastAsia"/>
        </w:rPr>
      </w:pPr>
    </w:p>
    <w:p>
      <w:pPr>
        <w:pStyle w:val="12"/>
        <w:jc w:val="center"/>
        <w:rPr>
          <w:sz w:val="72"/>
          <w:szCs w:val="72"/>
        </w:rPr>
      </w:pPr>
      <w:r>
        <w:rPr>
          <w:rFonts w:hint="eastAsia"/>
          <w:sz w:val="72"/>
          <w:szCs w:val="72"/>
        </w:rPr>
        <w:t>第三部分</w:t>
      </w:r>
    </w:p>
    <w:p>
      <w:pPr>
        <w:pStyle w:val="12"/>
        <w:jc w:val="center"/>
        <w:rPr>
          <w:rFonts w:hint="eastAsia"/>
          <w:sz w:val="70"/>
          <w:szCs w:val="70"/>
        </w:rPr>
      </w:pPr>
      <w:r>
        <w:rPr>
          <w:sz w:val="70"/>
          <w:szCs w:val="70"/>
        </w:rPr>
        <w:t>20</w:t>
      </w:r>
      <w:r>
        <w:rPr>
          <w:rFonts w:hint="eastAsia"/>
          <w:sz w:val="70"/>
          <w:szCs w:val="70"/>
        </w:rPr>
        <w:t>20年度部门决算</w:t>
      </w:r>
    </w:p>
    <w:p>
      <w:pPr>
        <w:pStyle w:val="12"/>
        <w:jc w:val="center"/>
        <w:rPr>
          <w:sz w:val="70"/>
          <w:szCs w:val="70"/>
        </w:rPr>
      </w:pPr>
      <w:r>
        <w:rPr>
          <w:rFonts w:hint="eastAsia"/>
          <w:sz w:val="70"/>
          <w:szCs w:val="70"/>
        </w:rPr>
        <w:t>情况说明</w:t>
      </w:r>
    </w:p>
    <w:p>
      <w:pPr>
        <w:widowControl/>
        <w:spacing w:line="600" w:lineRule="exact"/>
        <w:rPr>
          <w:rFonts w:hint="eastAsia" w:ascii="黑体" w:hAnsi="黑体" w:eastAsia="黑体"/>
          <w:bCs/>
          <w:kern w:val="0"/>
          <w:sz w:val="32"/>
          <w:szCs w:val="32"/>
        </w:rPr>
      </w:pPr>
      <w:r>
        <w:rPr>
          <w:rFonts w:hint="eastAsia" w:ascii="黑体" w:hAnsi="黑体" w:eastAsia="黑体"/>
          <w:bCs/>
          <w:kern w:val="0"/>
          <w:sz w:val="32"/>
          <w:szCs w:val="32"/>
        </w:rPr>
        <w:t>一、收入支出决算总体情况说明</w:t>
      </w:r>
    </w:p>
    <w:p>
      <w:pPr>
        <w:numPr>
          <w:ilvl w:val="0"/>
          <w:numId w:val="0"/>
        </w:numPr>
        <w:snapToGrid w:val="0"/>
        <w:spacing w:line="520" w:lineRule="exact"/>
        <w:ind w:firstLine="320" w:firstLineChars="100"/>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2020年</w:t>
      </w:r>
      <w:r>
        <w:rPr>
          <w:rFonts w:hint="eastAsia" w:cs="黑体" w:asciiTheme="minorEastAsia" w:hAnsiTheme="minorEastAsia"/>
          <w:color w:val="000000"/>
          <w:kern w:val="0"/>
          <w:sz w:val="32"/>
          <w:szCs w:val="32"/>
          <w:lang w:val="en-US" w:eastAsia="zh-CN" w:bidi="ar-SA"/>
        </w:rPr>
        <w:t>度</w:t>
      </w:r>
      <w:r>
        <w:rPr>
          <w:rFonts w:hint="eastAsia" w:cs="黑体" w:asciiTheme="minorEastAsia" w:hAnsiTheme="minorEastAsia" w:eastAsiaTheme="minorEastAsia"/>
          <w:color w:val="000000"/>
          <w:kern w:val="0"/>
          <w:sz w:val="32"/>
          <w:szCs w:val="32"/>
          <w:lang w:val="en-US" w:eastAsia="zh-CN" w:bidi="ar-SA"/>
        </w:rPr>
        <w:t>收入</w:t>
      </w:r>
      <w:r>
        <w:rPr>
          <w:rFonts w:hint="eastAsia" w:cs="黑体" w:asciiTheme="minorEastAsia" w:hAnsiTheme="minorEastAsia"/>
          <w:color w:val="000000"/>
          <w:kern w:val="0"/>
          <w:sz w:val="32"/>
          <w:szCs w:val="32"/>
          <w:lang w:val="en-US" w:eastAsia="zh-CN" w:bidi="ar-SA"/>
        </w:rPr>
        <w:t>总计</w:t>
      </w:r>
      <w:r>
        <w:rPr>
          <w:rFonts w:hint="eastAsia" w:cs="黑体" w:asciiTheme="minorEastAsia" w:hAnsiTheme="minorEastAsia" w:eastAsiaTheme="minorEastAsia"/>
          <w:color w:val="000000"/>
          <w:kern w:val="0"/>
          <w:sz w:val="32"/>
          <w:szCs w:val="32"/>
          <w:lang w:val="en-US" w:eastAsia="zh-CN" w:bidi="ar-SA"/>
        </w:rPr>
        <w:t>171.28万元，</w:t>
      </w:r>
      <w:r>
        <w:rPr>
          <w:rFonts w:hint="eastAsia" w:cs="黑体" w:asciiTheme="minorEastAsia" w:hAnsiTheme="minorEastAsia"/>
          <w:color w:val="000000"/>
          <w:kern w:val="0"/>
          <w:sz w:val="32"/>
          <w:szCs w:val="32"/>
          <w:lang w:val="en-US" w:eastAsia="zh-CN" w:bidi="ar-SA"/>
        </w:rPr>
        <w:t>与</w:t>
      </w:r>
      <w:r>
        <w:rPr>
          <w:rFonts w:hint="eastAsia" w:cs="黑体" w:asciiTheme="minorEastAsia" w:hAnsiTheme="minorEastAsia" w:eastAsiaTheme="minorEastAsia"/>
          <w:color w:val="000000"/>
          <w:kern w:val="0"/>
          <w:sz w:val="32"/>
          <w:szCs w:val="32"/>
          <w:lang w:val="en-US" w:eastAsia="zh-CN" w:bidi="ar-SA"/>
        </w:rPr>
        <w:t>上年</w:t>
      </w:r>
      <w:r>
        <w:rPr>
          <w:rFonts w:hint="eastAsia" w:cs="黑体" w:asciiTheme="minorEastAsia" w:hAnsiTheme="minorEastAsia"/>
          <w:color w:val="000000"/>
          <w:kern w:val="0"/>
          <w:sz w:val="32"/>
          <w:szCs w:val="32"/>
          <w:lang w:val="en-US" w:eastAsia="zh-CN" w:bidi="ar-SA"/>
        </w:rPr>
        <w:t>相比，</w:t>
      </w:r>
      <w:r>
        <w:rPr>
          <w:rFonts w:hint="eastAsia" w:cs="黑体" w:asciiTheme="minorEastAsia" w:hAnsiTheme="minorEastAsia" w:eastAsiaTheme="minorEastAsia"/>
          <w:color w:val="000000"/>
          <w:kern w:val="0"/>
          <w:sz w:val="32"/>
          <w:szCs w:val="32"/>
          <w:lang w:val="en-US" w:eastAsia="zh-CN" w:bidi="ar-SA"/>
        </w:rPr>
        <w:t>减少了21万元，减少了11%，主要是</w:t>
      </w:r>
      <w:r>
        <w:rPr>
          <w:rFonts w:hint="eastAsia" w:cs="黑体" w:asciiTheme="minorEastAsia" w:hAnsiTheme="minorEastAsia"/>
          <w:color w:val="000000"/>
          <w:kern w:val="0"/>
          <w:sz w:val="32"/>
          <w:szCs w:val="32"/>
          <w:lang w:val="en-US" w:eastAsia="zh-CN" w:bidi="ar-SA"/>
        </w:rPr>
        <w:t>因为</w:t>
      </w:r>
      <w:r>
        <w:rPr>
          <w:rFonts w:hint="eastAsia" w:cs="黑体" w:asciiTheme="minorEastAsia" w:hAnsiTheme="minorEastAsia" w:eastAsiaTheme="minorEastAsia"/>
          <w:color w:val="000000"/>
          <w:kern w:val="0"/>
          <w:sz w:val="32"/>
          <w:szCs w:val="32"/>
          <w:lang w:val="en-US" w:eastAsia="zh-CN" w:bidi="ar-SA"/>
        </w:rPr>
        <w:t>市本级专项减少，支出</w:t>
      </w:r>
      <w:r>
        <w:rPr>
          <w:rFonts w:hint="eastAsia" w:cs="黑体" w:asciiTheme="minorEastAsia" w:hAnsiTheme="minorEastAsia"/>
          <w:color w:val="000000"/>
          <w:kern w:val="0"/>
          <w:sz w:val="32"/>
          <w:szCs w:val="32"/>
          <w:lang w:val="en-US" w:eastAsia="zh-CN" w:bidi="ar-SA"/>
        </w:rPr>
        <w:t>总计</w:t>
      </w:r>
      <w:r>
        <w:rPr>
          <w:rFonts w:hint="eastAsia" w:cs="黑体" w:asciiTheme="minorEastAsia" w:hAnsiTheme="minorEastAsia" w:eastAsiaTheme="minorEastAsia"/>
          <w:color w:val="000000"/>
          <w:kern w:val="0"/>
          <w:sz w:val="32"/>
          <w:szCs w:val="32"/>
          <w:lang w:val="en-US" w:eastAsia="zh-CN" w:bidi="ar-SA"/>
        </w:rPr>
        <w:t>150.54万元</w:t>
      </w:r>
      <w:r>
        <w:rPr>
          <w:rFonts w:hint="eastAsia" w:cs="黑体" w:asciiTheme="minorEastAsia" w:hAnsiTheme="minorEastAsia"/>
          <w:color w:val="000000"/>
          <w:kern w:val="0"/>
          <w:sz w:val="32"/>
          <w:szCs w:val="32"/>
          <w:lang w:val="en-US" w:eastAsia="zh-CN" w:bidi="ar-SA"/>
        </w:rPr>
        <w:t>，与</w:t>
      </w:r>
      <w:r>
        <w:rPr>
          <w:rFonts w:hint="eastAsia" w:cs="黑体" w:asciiTheme="minorEastAsia" w:hAnsiTheme="minorEastAsia" w:eastAsiaTheme="minorEastAsia"/>
          <w:color w:val="000000"/>
          <w:kern w:val="0"/>
          <w:sz w:val="32"/>
          <w:szCs w:val="32"/>
          <w:lang w:val="en-US" w:eastAsia="zh-CN" w:bidi="ar-SA"/>
        </w:rPr>
        <w:t>上年</w:t>
      </w:r>
      <w:r>
        <w:rPr>
          <w:rFonts w:hint="eastAsia" w:cs="黑体" w:asciiTheme="minorEastAsia" w:hAnsiTheme="minorEastAsia"/>
          <w:color w:val="000000"/>
          <w:kern w:val="0"/>
          <w:sz w:val="32"/>
          <w:szCs w:val="32"/>
          <w:lang w:val="en-US" w:eastAsia="zh-CN" w:bidi="ar-SA"/>
        </w:rPr>
        <w:t>相比</w:t>
      </w:r>
      <w:r>
        <w:rPr>
          <w:rFonts w:hint="eastAsia" w:cs="黑体" w:asciiTheme="minorEastAsia" w:hAnsiTheme="minorEastAsia" w:eastAsiaTheme="minorEastAsia"/>
          <w:color w:val="000000"/>
          <w:kern w:val="0"/>
          <w:sz w:val="32"/>
          <w:szCs w:val="32"/>
          <w:lang w:val="en-US" w:eastAsia="zh-CN" w:bidi="ar-SA"/>
        </w:rPr>
        <w:t>减少了42.1万元，减少了22%，</w:t>
      </w:r>
      <w:r>
        <w:rPr>
          <w:rFonts w:hint="eastAsia" w:cs="黑体" w:asciiTheme="minorEastAsia" w:hAnsiTheme="minorEastAsia"/>
          <w:color w:val="000000"/>
          <w:kern w:val="0"/>
          <w:sz w:val="32"/>
          <w:szCs w:val="32"/>
          <w:lang w:val="en-US" w:eastAsia="zh-CN" w:bidi="ar-SA"/>
        </w:rPr>
        <w:t>主要</w:t>
      </w:r>
      <w:r>
        <w:rPr>
          <w:rFonts w:hint="eastAsia" w:cs="黑体" w:asciiTheme="minorEastAsia" w:hAnsiTheme="minorEastAsia" w:eastAsiaTheme="minorEastAsia"/>
          <w:color w:val="000000"/>
          <w:kern w:val="0"/>
          <w:sz w:val="32"/>
          <w:szCs w:val="32"/>
          <w:lang w:val="en-US" w:eastAsia="zh-CN" w:bidi="ar-SA"/>
        </w:rPr>
        <w:t>是</w:t>
      </w:r>
      <w:r>
        <w:rPr>
          <w:rFonts w:hint="eastAsia" w:cs="黑体" w:asciiTheme="minorEastAsia" w:hAnsiTheme="minorEastAsia"/>
          <w:color w:val="000000"/>
          <w:kern w:val="0"/>
          <w:sz w:val="32"/>
          <w:szCs w:val="32"/>
          <w:lang w:val="en-US" w:eastAsia="zh-CN" w:bidi="ar-SA"/>
        </w:rPr>
        <w:t>因为</w:t>
      </w:r>
      <w:r>
        <w:rPr>
          <w:rFonts w:hint="eastAsia" w:cs="黑体" w:asciiTheme="minorEastAsia" w:hAnsiTheme="minorEastAsia" w:eastAsiaTheme="minorEastAsia"/>
          <w:color w:val="000000"/>
          <w:kern w:val="0"/>
          <w:sz w:val="32"/>
          <w:szCs w:val="32"/>
          <w:lang w:val="en-US" w:eastAsia="zh-CN" w:bidi="ar-SA"/>
        </w:rPr>
        <w:t>减少人员经费和专项开支。</w:t>
      </w:r>
    </w:p>
    <w:p>
      <w:pPr>
        <w:pStyle w:val="12"/>
        <w:rPr>
          <w:rFonts w:hAnsi="黑体"/>
          <w:b/>
          <w:sz w:val="32"/>
          <w:szCs w:val="32"/>
        </w:rPr>
      </w:pPr>
      <w:r>
        <w:rPr>
          <w:rFonts w:hint="eastAsia" w:ascii="黑体" w:hAnsi="黑体" w:eastAsia="黑体" w:cstheme="minorBidi"/>
          <w:bCs/>
          <w:color w:val="auto"/>
          <w:kern w:val="0"/>
          <w:sz w:val="32"/>
          <w:szCs w:val="32"/>
          <w:lang w:val="en-US" w:eastAsia="zh-CN" w:bidi="ar-SA"/>
        </w:rPr>
        <w:t>二、收入决算情况说明</w:t>
      </w:r>
    </w:p>
    <w:p>
      <w:pPr>
        <w:pStyle w:val="12"/>
        <w:ind w:firstLine="640" w:firstLineChars="200"/>
        <w:rPr>
          <w:rFonts w:asciiTheme="minorEastAsia" w:hAnsiTheme="minorEastAsia" w:eastAsiaTheme="minorEastAsia"/>
          <w:sz w:val="28"/>
          <w:szCs w:val="28"/>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171.28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135.36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79</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35.92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rPr>
          <w:rFonts w:hint="eastAsia" w:ascii="黑体" w:hAnsi="黑体" w:eastAsia="黑体" w:cstheme="minorBidi"/>
          <w:bCs/>
          <w:color w:val="auto"/>
          <w:kern w:val="0"/>
          <w:sz w:val="32"/>
          <w:szCs w:val="32"/>
          <w:lang w:val="en-US" w:eastAsia="zh-CN" w:bidi="ar-SA"/>
        </w:rPr>
      </w:pPr>
      <w:r>
        <w:rPr>
          <w:rFonts w:hint="eastAsia" w:ascii="黑体" w:hAnsi="黑体" w:eastAsia="黑体" w:cstheme="minorBidi"/>
          <w:bCs/>
          <w:color w:val="auto"/>
          <w:kern w:val="0"/>
          <w:sz w:val="32"/>
          <w:szCs w:val="32"/>
          <w:lang w:val="en-US" w:eastAsia="zh-CN" w:bidi="ar-SA"/>
        </w:rPr>
        <w:t>三、支出决算情况说明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150.54</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114.62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76</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35.92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rPr>
          <w:rFonts w:hint="eastAsia" w:ascii="黑体" w:hAnsi="黑体" w:eastAsia="黑体" w:cstheme="minorBidi"/>
          <w:bCs/>
          <w:color w:val="auto"/>
          <w:kern w:val="0"/>
          <w:sz w:val="32"/>
          <w:szCs w:val="32"/>
          <w:lang w:val="en-US" w:eastAsia="zh-CN" w:bidi="ar-SA"/>
        </w:rPr>
      </w:pPr>
      <w:r>
        <w:rPr>
          <w:rFonts w:hint="eastAsia" w:ascii="黑体" w:hAnsi="黑体" w:eastAsia="黑体" w:cstheme="minorBidi"/>
          <w:bCs/>
          <w:color w:val="auto"/>
          <w:kern w:val="0"/>
          <w:sz w:val="32"/>
          <w:szCs w:val="32"/>
          <w:lang w:val="en-US" w:eastAsia="zh-CN" w:bidi="ar-SA"/>
        </w:rPr>
        <w:t>四、财政拨款收入支出决算总体情况说明</w:t>
      </w:r>
    </w:p>
    <w:p>
      <w:pPr>
        <w:pStyle w:val="12"/>
        <w:rPr>
          <w:rFonts w:hint="eastAsia" w:asciiTheme="minorEastAsia" w:hAnsiTheme="minorEastAsia" w:eastAsiaTheme="minorEastAsia"/>
          <w:b/>
          <w:bCs/>
          <w:color w:val="31859C" w:themeColor="accent5" w:themeShade="BF"/>
          <w:sz w:val="32"/>
          <w:szCs w:val="32"/>
          <w:highlight w:val="yellow"/>
          <w:shd w:val="clear" w:color="auto" w:fill="auto"/>
          <w:lang w:eastAsia="zh-CN"/>
        </w:rPr>
      </w:pPr>
      <w:r>
        <w:rPr>
          <w:rFonts w:hint="eastAsia" w:asciiTheme="minorEastAsia" w:hAnsiTheme="minorEastAsia" w:eastAsiaTheme="minorEastAsia"/>
          <w:color w:val="auto"/>
          <w:sz w:val="28"/>
          <w:szCs w:val="28"/>
          <w:shd w:val="clear" w:color="auto" w:fill="auto"/>
        </w:rPr>
        <w:t xml:space="preserve">  </w:t>
      </w:r>
      <w:r>
        <w:rPr>
          <w:rFonts w:hint="eastAsia" w:asciiTheme="minorEastAsia" w:hAnsiTheme="minorEastAsia" w:eastAsiaTheme="minorEastAsia"/>
          <w:color w:val="auto"/>
          <w:sz w:val="32"/>
          <w:szCs w:val="32"/>
          <w:shd w:val="clear" w:color="auto" w:fill="FFFFFF" w:themeFill="background1"/>
        </w:rPr>
        <w:t xml:space="preserve"> 2020年度财政拨款收</w:t>
      </w:r>
      <w:r>
        <w:rPr>
          <w:rFonts w:hint="eastAsia" w:asciiTheme="minorEastAsia" w:hAnsiTheme="minorEastAsia" w:eastAsiaTheme="minorEastAsia"/>
          <w:color w:val="auto"/>
          <w:sz w:val="32"/>
          <w:szCs w:val="32"/>
          <w:shd w:val="clear" w:color="auto" w:fill="FFFFFF" w:themeFill="background1"/>
          <w:lang w:val="en-US" w:eastAsia="zh-CN"/>
        </w:rPr>
        <w:t>入</w:t>
      </w:r>
      <w:r>
        <w:rPr>
          <w:rFonts w:hint="eastAsia" w:asciiTheme="minorEastAsia" w:hAnsiTheme="minorEastAsia" w:eastAsiaTheme="minorEastAsia"/>
          <w:color w:val="auto"/>
          <w:sz w:val="32"/>
          <w:szCs w:val="32"/>
          <w:shd w:val="clear" w:color="auto" w:fill="FFFFFF" w:themeFill="background1"/>
        </w:rPr>
        <w:t>总计</w:t>
      </w:r>
      <w:r>
        <w:rPr>
          <w:rFonts w:hint="eastAsia" w:asciiTheme="minorEastAsia" w:hAnsiTheme="minorEastAsia" w:eastAsiaTheme="minorEastAsia"/>
          <w:sz w:val="32"/>
          <w:szCs w:val="32"/>
          <w:lang w:val="en-US" w:eastAsia="zh-CN"/>
        </w:rPr>
        <w:t>135.36</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56.74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%，主要是</w:t>
      </w:r>
      <w:r>
        <w:rPr>
          <w:rFonts w:hint="eastAsia" w:asciiTheme="minorEastAsia" w:hAnsiTheme="minorEastAsia" w:eastAsiaTheme="minorEastAsia"/>
          <w:sz w:val="32"/>
          <w:szCs w:val="32"/>
          <w:lang w:eastAsia="zh-CN"/>
        </w:rPr>
        <w:t>因为</w:t>
      </w:r>
      <w:r>
        <w:rPr>
          <w:rFonts w:hint="eastAsia" w:asciiTheme="minorEastAsia" w:hAnsiTheme="minorEastAsia" w:eastAsiaTheme="minorEastAsia"/>
          <w:sz w:val="32"/>
          <w:szCs w:val="32"/>
          <w:lang w:val="en-US" w:eastAsia="zh-CN"/>
        </w:rPr>
        <w:t>市本级专项减少，</w:t>
      </w:r>
      <w:r>
        <w:rPr>
          <w:rFonts w:hint="eastAsia" w:asciiTheme="minorEastAsia" w:hAnsiTheme="minorEastAsia" w:eastAsiaTheme="minorEastAsia"/>
          <w:sz w:val="32"/>
          <w:szCs w:val="32"/>
          <w:lang w:eastAsia="zh-CN"/>
        </w:rPr>
        <w:t>支出总计</w:t>
      </w:r>
      <w:r>
        <w:rPr>
          <w:rFonts w:hint="eastAsia" w:asciiTheme="minorEastAsia" w:hAnsiTheme="minorEastAsia" w:eastAsiaTheme="minorEastAsia"/>
          <w:sz w:val="32"/>
          <w:szCs w:val="32"/>
          <w:lang w:val="en-US" w:eastAsia="zh-CN"/>
        </w:rPr>
        <w:t>114.62 万元，</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77.48</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主要是因为是减少人员经费和专项开支。</w:t>
      </w:r>
    </w:p>
    <w:p>
      <w:pPr>
        <w:pStyle w:val="12"/>
        <w:rPr>
          <w:rFonts w:hint="eastAsia" w:ascii="黑体" w:hAnsi="黑体" w:eastAsia="黑体" w:cstheme="minorBidi"/>
          <w:bCs/>
          <w:color w:val="auto"/>
          <w:kern w:val="0"/>
          <w:sz w:val="32"/>
          <w:szCs w:val="32"/>
          <w:lang w:val="en-US" w:eastAsia="zh-CN" w:bidi="ar-SA"/>
        </w:rPr>
      </w:pPr>
      <w:r>
        <w:rPr>
          <w:rFonts w:hint="eastAsia" w:ascii="黑体" w:hAnsi="黑体" w:eastAsia="黑体" w:cstheme="minorBidi"/>
          <w:bCs/>
          <w:color w:val="auto"/>
          <w:kern w:val="0"/>
          <w:sz w:val="32"/>
          <w:szCs w:val="32"/>
          <w:lang w:val="en-US" w:eastAsia="zh-CN" w:bidi="ar-SA"/>
        </w:rPr>
        <w:t>五、一般公共预算财政拨款支出决算情况说明</w:t>
      </w:r>
    </w:p>
    <w:p>
      <w:pPr>
        <w:pStyle w:val="12"/>
        <w:rPr>
          <w:rFonts w:hint="eastAsia" w:ascii="黑体" w:hAnsi="黑体" w:eastAsia="黑体" w:cstheme="minorBidi"/>
          <w:bCs/>
          <w:color w:val="auto"/>
          <w:kern w:val="0"/>
          <w:sz w:val="32"/>
          <w:szCs w:val="32"/>
          <w:lang w:val="en-US" w:eastAsia="zh-CN" w:bidi="ar-SA"/>
        </w:rPr>
      </w:pPr>
      <w:r>
        <w:rPr>
          <w:rFonts w:hint="eastAsia" w:ascii="黑体" w:hAnsi="黑体" w:eastAsia="黑体" w:cstheme="minorBidi"/>
          <w:bCs/>
          <w:color w:val="auto"/>
          <w:kern w:val="0"/>
          <w:sz w:val="32"/>
          <w:szCs w:val="32"/>
          <w:lang w:val="en-US" w:eastAsia="zh-CN" w:bidi="ar-SA"/>
        </w:rPr>
        <w:t>（一）财政拨款支出决算总体情况</w:t>
      </w:r>
    </w:p>
    <w:p>
      <w:pPr>
        <w:pStyle w:val="12"/>
        <w:ind w:firstLine="800" w:firstLineChars="250"/>
        <w:rPr>
          <w:rFonts w:asciiTheme="minorEastAsia" w:hAnsiTheme="minorEastAsia" w:eastAsiaTheme="minorEastAsia"/>
          <w:sz w:val="28"/>
          <w:szCs w:val="28"/>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114.62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76</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25.31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主要原因是减少人员经费和专项开支。</w:t>
      </w:r>
    </w:p>
    <w:p>
      <w:pPr>
        <w:pStyle w:val="12"/>
        <w:rPr>
          <w:rFonts w:hint="eastAsia" w:ascii="黑体" w:hAnsi="黑体" w:eastAsia="黑体" w:cstheme="minorBidi"/>
          <w:bCs/>
          <w:color w:val="auto"/>
          <w:kern w:val="0"/>
          <w:sz w:val="28"/>
          <w:szCs w:val="28"/>
          <w:lang w:val="en-US" w:eastAsia="zh-CN" w:bidi="ar-SA"/>
        </w:rPr>
      </w:pPr>
      <w:r>
        <w:rPr>
          <w:rFonts w:hint="eastAsia" w:ascii="黑体" w:hAnsi="黑体" w:eastAsia="黑体" w:cstheme="minorBidi"/>
          <w:bCs/>
          <w:color w:val="auto"/>
          <w:kern w:val="0"/>
          <w:sz w:val="32"/>
          <w:szCs w:val="32"/>
          <w:lang w:val="en-US" w:eastAsia="zh-CN" w:bidi="ar-SA"/>
        </w:rPr>
        <w:t>（二）财政拨款支出决算结构情况</w:t>
      </w:r>
    </w:p>
    <w:p>
      <w:pPr>
        <w:pStyle w:val="12"/>
        <w:ind w:firstLine="640" w:firstLineChars="200"/>
        <w:rPr>
          <w:rFonts w:hint="eastAsia" w:asciiTheme="minorEastAsia" w:hAnsiTheme="minorEastAsia" w:eastAsiaTheme="minorEastAsia"/>
          <w:sz w:val="28"/>
          <w:szCs w:val="28"/>
          <w:shd w:val="clear" w:fill="FFFF00"/>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114.62</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114.62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其中农林水支出</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105.64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；社会保障和就业支出</w:t>
      </w:r>
      <w:r>
        <w:rPr>
          <w:rFonts w:hint="eastAsia" w:asciiTheme="minorEastAsia" w:hAnsiTheme="minorEastAsia" w:eastAsiaTheme="minorEastAsia"/>
          <w:sz w:val="32"/>
          <w:szCs w:val="32"/>
          <w:lang w:val="en-US" w:eastAsia="zh-CN"/>
        </w:rPr>
        <w:t>8.98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2"/>
        <w:rPr>
          <w:rFonts w:hint="eastAsia" w:ascii="黑体" w:hAnsi="黑体" w:eastAsia="黑体" w:cstheme="minorBidi"/>
          <w:bCs/>
          <w:color w:val="auto"/>
          <w:kern w:val="0"/>
          <w:sz w:val="32"/>
          <w:szCs w:val="32"/>
          <w:lang w:val="en-US" w:eastAsia="zh-CN" w:bidi="ar-SA"/>
        </w:rPr>
      </w:pPr>
      <w:r>
        <w:rPr>
          <w:rFonts w:hint="eastAsia" w:ascii="黑体" w:hAnsi="黑体" w:eastAsia="黑体" w:cstheme="minorBidi"/>
          <w:bCs/>
          <w:color w:val="auto"/>
          <w:kern w:val="0"/>
          <w:sz w:val="32"/>
          <w:szCs w:val="32"/>
          <w:lang w:val="en-US" w:eastAsia="zh-CN" w:bidi="ar-SA"/>
        </w:rPr>
        <w:t>（三）财政拨款支出决算具体情况</w:t>
      </w:r>
    </w:p>
    <w:p>
      <w:pPr>
        <w:pStyle w:val="12"/>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107.64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114.62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106</w:t>
      </w:r>
      <w:r>
        <w:rPr>
          <w:rFonts w:hint="eastAsia" w:asciiTheme="minorEastAsia" w:hAnsiTheme="minorEastAsia" w:eastAsiaTheme="minorEastAsia"/>
          <w:sz w:val="32"/>
          <w:szCs w:val="32"/>
        </w:rPr>
        <w:t>%，其中：</w:t>
      </w:r>
    </w:p>
    <w:p>
      <w:pPr>
        <w:pStyle w:val="12"/>
        <w:rPr>
          <w:rFonts w:hint="default" w:asciiTheme="minorEastAsia" w:hAnsiTheme="minorEastAsia" w:eastAsiaTheme="minorEastAsia"/>
          <w:b/>
          <w:bCs/>
          <w:sz w:val="32"/>
          <w:szCs w:val="32"/>
          <w:lang w:val="en-US"/>
        </w:rPr>
      </w:pPr>
      <w:r>
        <w:rPr>
          <w:rFonts w:hint="eastAsia" w:asciiTheme="minorEastAsia" w:hAnsiTheme="minorEastAsia" w:eastAsiaTheme="minorEastAsia"/>
          <w:b/>
          <w:bCs/>
          <w:sz w:val="32"/>
          <w:szCs w:val="32"/>
        </w:rPr>
        <w:t>1、一般公共服务</w:t>
      </w:r>
      <w:r>
        <w:rPr>
          <w:rFonts w:hint="eastAsia" w:asciiTheme="minorEastAsia" w:hAnsiTheme="minorEastAsia" w:eastAsiaTheme="minorEastAsia"/>
          <w:b/>
          <w:bCs/>
          <w:sz w:val="32"/>
          <w:szCs w:val="32"/>
          <w:lang w:eastAsia="zh-CN"/>
        </w:rPr>
        <w:t>：农林水支出</w:t>
      </w:r>
      <w:r>
        <w:rPr>
          <w:rFonts w:hint="eastAsia" w:asciiTheme="minorEastAsia" w:hAnsiTheme="minorEastAsia" w:eastAsiaTheme="minorEastAsia"/>
          <w:b/>
          <w:bCs/>
          <w:sz w:val="32"/>
          <w:szCs w:val="32"/>
          <w:lang w:val="en-US" w:eastAsia="zh-CN"/>
        </w:rPr>
        <w:t>-农业农村-行政运行</w:t>
      </w:r>
    </w:p>
    <w:p>
      <w:pPr>
        <w:pStyle w:val="12"/>
        <w:ind w:firstLine="320" w:firstLineChars="1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105.64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105.64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等于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eastAsia="zh-CN"/>
        </w:rPr>
        <w:t>。</w:t>
      </w:r>
    </w:p>
    <w:p>
      <w:pPr>
        <w:pStyle w:val="12"/>
        <w:rPr>
          <w:rFonts w:asciiTheme="minorEastAsia" w:hAnsiTheme="minorEastAsia" w:eastAsiaTheme="minorEastAsia"/>
          <w:b/>
          <w:bCs/>
          <w:sz w:val="28"/>
          <w:szCs w:val="28"/>
        </w:rPr>
      </w:pPr>
      <w:r>
        <w:rPr>
          <w:rFonts w:hint="eastAsia" w:asciiTheme="minorEastAsia" w:hAnsiTheme="minorEastAsia" w:eastAsiaTheme="minorEastAsia"/>
          <w:b/>
          <w:bCs/>
          <w:sz w:val="32"/>
          <w:szCs w:val="32"/>
        </w:rPr>
        <w:t>2、一般公共服务</w:t>
      </w:r>
      <w:r>
        <w:rPr>
          <w:rFonts w:hint="eastAsia" w:asciiTheme="minorEastAsia" w:hAnsiTheme="minorEastAsia" w:eastAsiaTheme="minorEastAsia"/>
          <w:b/>
          <w:bCs/>
          <w:sz w:val="32"/>
          <w:szCs w:val="32"/>
          <w:lang w:eastAsia="zh-CN"/>
        </w:rPr>
        <w:t>：社会保障和就业支出</w:t>
      </w:r>
      <w:r>
        <w:rPr>
          <w:rFonts w:hint="eastAsia" w:asciiTheme="minorEastAsia" w:hAnsiTheme="minorEastAsia" w:eastAsiaTheme="minorEastAsia"/>
          <w:b/>
          <w:bCs/>
          <w:sz w:val="32"/>
          <w:szCs w:val="32"/>
          <w:lang w:val="en-US" w:eastAsia="zh-CN"/>
        </w:rPr>
        <w:t>-</w:t>
      </w:r>
      <w:r>
        <w:rPr>
          <w:rFonts w:hint="eastAsia" w:asciiTheme="minorEastAsia" w:hAnsiTheme="minorEastAsia" w:eastAsiaTheme="minorEastAsia"/>
          <w:b/>
          <w:bCs/>
          <w:sz w:val="32"/>
          <w:szCs w:val="32"/>
          <w:lang w:eastAsia="zh-CN"/>
        </w:rPr>
        <w:t>行政事业单位养老支出</w:t>
      </w:r>
      <w:r>
        <w:rPr>
          <w:rFonts w:hint="eastAsia" w:asciiTheme="minorEastAsia" w:hAnsiTheme="minorEastAsia" w:eastAsiaTheme="minorEastAsia"/>
          <w:b/>
          <w:bCs/>
          <w:sz w:val="32"/>
          <w:szCs w:val="32"/>
          <w:lang w:val="en-US" w:eastAsia="zh-CN"/>
        </w:rPr>
        <w:t>-机关事业单位基本</w:t>
      </w:r>
      <w:r>
        <w:rPr>
          <w:rFonts w:hint="eastAsia" w:asciiTheme="minorEastAsia" w:hAnsiTheme="minorEastAsia" w:eastAsiaTheme="minorEastAsia"/>
          <w:b/>
          <w:bCs/>
          <w:sz w:val="32"/>
          <w:szCs w:val="32"/>
          <w:lang w:eastAsia="zh-CN"/>
        </w:rPr>
        <w:t>养老缴费支出</w:t>
      </w:r>
      <w:r>
        <w:rPr>
          <w:rFonts w:hint="eastAsia" w:asciiTheme="minorEastAsia" w:hAnsiTheme="minorEastAsia" w:eastAsiaTheme="minorEastAsia"/>
          <w:b/>
          <w:bCs/>
          <w:sz w:val="32"/>
          <w:szCs w:val="32"/>
        </w:rPr>
        <w:t>。</w:t>
      </w:r>
    </w:p>
    <w:p>
      <w:pPr>
        <w:pStyle w:val="12"/>
        <w:ind w:firstLine="320" w:firstLineChars="100"/>
        <w:rPr>
          <w:rFonts w:hint="eastAsia" w:asciiTheme="minorEastAsia" w:hAnsiTheme="minorEastAsia" w:eastAsiaTheme="minorEastAsia"/>
          <w:sz w:val="28"/>
          <w:szCs w:val="28"/>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8.98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450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养老金和医保应效金额增加。</w:t>
      </w:r>
    </w:p>
    <w:p>
      <w:pPr>
        <w:widowControl/>
        <w:spacing w:line="600" w:lineRule="exac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六、一般公共预算财政拨款基本支出决算情况说明</w:t>
      </w:r>
    </w:p>
    <w:p>
      <w:pPr>
        <w:pStyle w:val="12"/>
        <w:ind w:firstLine="320" w:firstLineChars="1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114.62</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95.83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83.6</w:t>
      </w:r>
      <w:r>
        <w:rPr>
          <w:rFonts w:hint="eastAsia" w:asciiTheme="minorEastAsia" w:hAnsiTheme="minorEastAsia" w:eastAsiaTheme="minorEastAsia"/>
          <w:sz w:val="32"/>
          <w:szCs w:val="32"/>
        </w:rPr>
        <w:t>%,主要包括基本工资、津贴补贴、奖金、伙食补助费；公用经费</w:t>
      </w:r>
      <w:r>
        <w:rPr>
          <w:rFonts w:hint="eastAsia" w:asciiTheme="minorEastAsia" w:hAnsiTheme="minorEastAsia" w:eastAsiaTheme="minorEastAsia"/>
          <w:sz w:val="32"/>
          <w:szCs w:val="32"/>
          <w:lang w:val="en-US" w:eastAsia="zh-CN"/>
        </w:rPr>
        <w:t>18.79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16.4</w:t>
      </w:r>
      <w:r>
        <w:rPr>
          <w:rFonts w:hint="eastAsia" w:asciiTheme="minorEastAsia" w:hAnsiTheme="minorEastAsia" w:eastAsiaTheme="minorEastAsia"/>
          <w:sz w:val="32"/>
          <w:szCs w:val="32"/>
        </w:rPr>
        <w:t>%，主要包括办公费、印刷费、咨询费、手续费。</w:t>
      </w:r>
    </w:p>
    <w:p>
      <w:pPr>
        <w:widowControl/>
        <w:spacing w:line="600" w:lineRule="exac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七、一般公共预算财政拨款三公经费支出决算情况说明</w:t>
      </w:r>
    </w:p>
    <w:p>
      <w:pPr>
        <w:widowControl/>
        <w:spacing w:line="600" w:lineRule="exact"/>
        <w:rPr>
          <w:rFonts w:hint="eastAsia" w:ascii="黑体" w:hAnsi="黑体" w:eastAsia="黑体"/>
          <w:bCs/>
          <w:kern w:val="0"/>
          <w:sz w:val="28"/>
          <w:szCs w:val="28"/>
          <w:lang w:val="en-US" w:eastAsia="zh-CN"/>
        </w:rPr>
      </w:pPr>
      <w:r>
        <w:rPr>
          <w:rFonts w:hint="eastAsia" w:ascii="黑体" w:hAnsi="黑体" w:eastAsia="黑体"/>
          <w:bCs/>
          <w:kern w:val="0"/>
          <w:sz w:val="32"/>
          <w:szCs w:val="32"/>
          <w:lang w:val="en-US" w:eastAsia="zh-CN"/>
        </w:rPr>
        <w:t>（一）“三公”经费财政拨款支出决算总体情况说明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0.89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%，其中：</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0.89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89</w:t>
      </w:r>
      <w:r>
        <w:rPr>
          <w:rFonts w:hint="eastAsia" w:asciiTheme="minorEastAsia" w:hAnsiTheme="minorEastAsia" w:eastAsiaTheme="minorEastAsia"/>
          <w:sz w:val="32"/>
          <w:szCs w:val="32"/>
        </w:rPr>
        <w:t>%，决算数小于预算数的主要原因</w:t>
      </w:r>
      <w:r>
        <w:rPr>
          <w:rFonts w:hint="eastAsia" w:asciiTheme="minorEastAsia" w:hAnsiTheme="minorEastAsia" w:eastAsiaTheme="minorEastAsia"/>
          <w:sz w:val="32"/>
          <w:szCs w:val="32"/>
          <w:lang w:eastAsia="zh-CN"/>
        </w:rPr>
        <w:t>是</w:t>
      </w:r>
      <w:r>
        <w:rPr>
          <w:rFonts w:hint="eastAsia" w:asciiTheme="minorEastAsia" w:hAnsiTheme="minorEastAsia" w:eastAsiaTheme="minorEastAsia"/>
          <w:sz w:val="32"/>
          <w:szCs w:val="32"/>
          <w:lang w:val="en-US" w:eastAsia="zh-CN"/>
        </w:rPr>
        <w:t>根据中央精神提倡节约，压缩开支。</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，支出总计</w:t>
      </w:r>
      <w:r>
        <w:rPr>
          <w:rFonts w:hint="eastAsia" w:asciiTheme="minorEastAsia" w:hAnsiTheme="minorEastAsia" w:eastAsiaTheme="minorEastAsia"/>
          <w:sz w:val="32"/>
          <w:szCs w:val="32"/>
        </w:rPr>
        <w:t>减少</w:t>
      </w:r>
      <w:r>
        <w:rPr>
          <w:rFonts w:hint="eastAsia" w:asciiTheme="minorEastAsia" w:hAnsiTheme="minorEastAsia" w:eastAsiaTheme="minorEastAsia"/>
          <w:sz w:val="32"/>
          <w:szCs w:val="32"/>
          <w:lang w:val="en-US" w:eastAsia="zh-CN"/>
        </w:rPr>
        <w:t>0.11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11</w:t>
      </w:r>
      <w:r>
        <w:rPr>
          <w:rFonts w:hint="eastAsia" w:asciiTheme="minorEastAsia" w:hAnsiTheme="minorEastAsia" w:eastAsiaTheme="minorEastAsia"/>
          <w:sz w:val="32"/>
          <w:szCs w:val="32"/>
        </w:rPr>
        <w:t>%,主要</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rPr>
        <w:t>原因是</w:t>
      </w:r>
      <w:r>
        <w:rPr>
          <w:rFonts w:hint="eastAsia" w:asciiTheme="minorEastAsia" w:hAnsiTheme="minorEastAsia" w:eastAsiaTheme="minorEastAsia"/>
          <w:sz w:val="32"/>
          <w:szCs w:val="32"/>
          <w:lang w:val="en-US" w:eastAsia="zh-CN"/>
        </w:rPr>
        <w:t>根据中央精神提倡节约，压缩开支。</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2.74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274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减少的</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今年参加车改，所发生的费用为平台租车用于柑橘黄龙病防控调查和走访。</w:t>
      </w:r>
    </w:p>
    <w:p>
      <w:pPr>
        <w:widowControl/>
        <w:spacing w:line="600" w:lineRule="exac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（二）“三公”经费财政拨款支出决算具体情况说明</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2"/>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0.89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35</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178</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接待往来业务单位人员</w:t>
      </w:r>
      <w:r>
        <w:rPr>
          <w:rFonts w:hint="eastAsia" w:asciiTheme="minorEastAsia" w:hAnsiTheme="minorEastAsia" w:eastAsiaTheme="minorEastAsia"/>
          <w:sz w:val="32"/>
          <w:szCs w:val="32"/>
        </w:rPr>
        <w:t>发生的接待支出。</w:t>
      </w:r>
    </w:p>
    <w:p>
      <w:pPr>
        <w:pStyle w:val="12"/>
        <w:ind w:firstLine="320" w:firstLineChars="1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3、公务用车购置费及运行维护费支出决算为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万元，其中：公务用车购置费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万元，（单位本级或某二级机构）更新公务用车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辆。公务用车运行维护费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万元，截止2020年12月31日，我单位开支财政拨款的</w:t>
      </w:r>
      <w:r>
        <w:rPr>
          <w:rFonts w:hint="eastAsia" w:asciiTheme="minorEastAsia" w:hAnsiTheme="minorEastAsia" w:eastAsiaTheme="minorEastAsia"/>
          <w:sz w:val="32"/>
          <w:szCs w:val="32"/>
          <w:lang w:val="en-US" w:eastAsia="zh-CN"/>
        </w:rPr>
        <w:t>公务用车保有量为0辆。</w:t>
      </w:r>
    </w:p>
    <w:p>
      <w:pPr>
        <w:widowControl/>
        <w:spacing w:line="600" w:lineRule="exac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八、政府性基金预算收入支出决算情况</w:t>
      </w:r>
    </w:p>
    <w:p>
      <w:pPr>
        <w:pStyle w:val="12"/>
        <w:ind w:firstLine="320" w:firstLineChars="100"/>
        <w:rPr>
          <w:rFonts w:hint="eastAsia" w:asciiTheme="minorEastAsia" w:hAnsiTheme="minorEastAsia" w:eastAsiaTheme="minorEastAsia"/>
          <w:sz w:val="28"/>
          <w:szCs w:val="28"/>
          <w:lang w:eastAsia="zh-CN"/>
        </w:rPr>
      </w:pPr>
      <w:r>
        <w:rPr>
          <w:rFonts w:hint="eastAsia" w:asciiTheme="minorEastAsia" w:hAnsiTheme="minorEastAsia" w:eastAsiaTheme="minorEastAsia"/>
          <w:sz w:val="32"/>
          <w:szCs w:val="32"/>
          <w:lang w:eastAsia="zh-CN"/>
        </w:rPr>
        <w:t>本单位无政</w:t>
      </w:r>
      <w:r>
        <w:rPr>
          <w:rFonts w:hint="eastAsia" w:asciiTheme="minorEastAsia" w:hAnsiTheme="minorEastAsia" w:eastAsiaTheme="minorEastAsia"/>
          <w:sz w:val="32"/>
          <w:szCs w:val="32"/>
        </w:rPr>
        <w:t>府性基金收支</w:t>
      </w:r>
      <w:r>
        <w:rPr>
          <w:rFonts w:hint="eastAsia" w:asciiTheme="minorEastAsia" w:hAnsiTheme="minorEastAsia" w:eastAsiaTheme="minorEastAsia"/>
          <w:sz w:val="32"/>
          <w:szCs w:val="32"/>
          <w:lang w:eastAsia="zh-CN"/>
        </w:rPr>
        <w:t>。</w:t>
      </w:r>
    </w:p>
    <w:p>
      <w:pPr>
        <w:pStyle w:val="12"/>
        <w:ind w:firstLine="320" w:firstLineChars="100"/>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九、关于机关运行经费支出说明</w:t>
      </w:r>
    </w:p>
    <w:p>
      <w:pPr>
        <w:pStyle w:val="12"/>
        <w:ind w:firstLine="320" w:firstLineChars="1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18.78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比上年决算数增加</w:t>
      </w:r>
      <w:r>
        <w:rPr>
          <w:rFonts w:hint="eastAsia" w:asciiTheme="minorEastAsia" w:hAnsiTheme="minorEastAsia" w:eastAsiaTheme="minorEastAsia"/>
          <w:sz w:val="32"/>
          <w:szCs w:val="32"/>
          <w:lang w:val="en-US" w:eastAsia="zh-CN"/>
        </w:rPr>
        <w:t>8.67</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因公车改革后增加了其他交通费和新进研究生增加了租房补助款。</w:t>
      </w:r>
    </w:p>
    <w:p>
      <w:pPr>
        <w:widowControl/>
        <w:spacing w:line="600" w:lineRule="exac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十、一般性支出情况</w:t>
      </w:r>
    </w:p>
    <w:p>
      <w:pPr>
        <w:pStyle w:val="12"/>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w:t>
      </w:r>
      <w:r>
        <w:rPr>
          <w:rFonts w:hint="eastAsia" w:asciiTheme="minorEastAsia" w:hAnsiTheme="minorEastAsia" w:eastAsiaTheme="minorEastAsia"/>
          <w:sz w:val="32"/>
          <w:szCs w:val="32"/>
          <w:lang w:eastAsia="zh-CN"/>
        </w:rPr>
        <w:t>。</w:t>
      </w:r>
    </w:p>
    <w:p>
      <w:pPr>
        <w:widowControl/>
        <w:spacing w:line="600" w:lineRule="exac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十一、关于政府采购支出说明</w:t>
      </w:r>
    </w:p>
    <w:p>
      <w:pPr>
        <w:pStyle w:val="12"/>
        <w:ind w:firstLine="640" w:firstLineChars="200"/>
        <w:rPr>
          <w:rFonts w:asciiTheme="minorEastAsia" w:hAnsiTheme="minorEastAsia" w:eastAsiaTheme="minorEastAsia"/>
          <w:sz w:val="28"/>
          <w:szCs w:val="28"/>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widowControl/>
        <w:spacing w:line="600" w:lineRule="exac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十二、关于国有资产占用情况说明</w:t>
      </w:r>
    </w:p>
    <w:p>
      <w:pPr>
        <w:pStyle w:val="12"/>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辆，其他用车主要是……；单位价值50万元以上通用设备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widowControl/>
        <w:spacing w:line="600" w:lineRule="exac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十三、关于2020年度预算绩效情况的说明</w:t>
      </w:r>
    </w:p>
    <w:p>
      <w:pPr>
        <w:pStyle w:val="12"/>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按照《关于做好2021年预算绩效目标编审和2020年度财政支出绩效自评工作的通知》（永财绩【2021】1号）文件要求，本部门成立了绩效评价小组对2020年部门整体支出开展了全面绩效评价。</w:t>
      </w:r>
      <w:r>
        <w:rPr>
          <w:rFonts w:hint="eastAsia" w:asciiTheme="minorEastAsia" w:hAnsiTheme="minorEastAsia" w:eastAsiaTheme="minorEastAsia"/>
          <w:sz w:val="32"/>
          <w:szCs w:val="32"/>
          <w:lang w:val="en-US" w:eastAsia="zh-CN"/>
        </w:rPr>
        <w:br w:type="textWrapping"/>
      </w:r>
      <w:r>
        <w:rPr>
          <w:rFonts w:hint="eastAsia" w:asciiTheme="minorEastAsia" w:hAnsiTheme="minorEastAsia" w:eastAsiaTheme="minorEastAsia"/>
          <w:sz w:val="32"/>
          <w:szCs w:val="32"/>
          <w:lang w:val="en-US" w:eastAsia="zh-CN"/>
        </w:rPr>
        <w:t xml:space="preserve">       评价小组通过收集汇总资料，分析核实情况，并采用实地考察调研等方法，对照评价指标和评分标准，经综合评定，《2020年度永州市植保植检站整体支出绩效自评表》综合得分98分，绩效评价等级为“优”。我站没有重点项目支出，所以没有重点项目支出绩效评价。</w:t>
      </w:r>
    </w:p>
    <w:p>
      <w:pPr>
        <w:pStyle w:val="12"/>
        <w:ind w:firstLine="640" w:firstLineChars="200"/>
        <w:rPr>
          <w:rFonts w:hint="eastAsia" w:asciiTheme="minorEastAsia" w:hAnsiTheme="minorEastAsia" w:eastAsiaTheme="minorEastAsia"/>
          <w:sz w:val="32"/>
          <w:szCs w:val="3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sz w:val="72"/>
          <w:szCs w:val="72"/>
        </w:rPr>
      </w:pPr>
      <w:r>
        <w:rPr>
          <w:rFonts w:hint="eastAsia"/>
          <w:sz w:val="72"/>
          <w:szCs w:val="72"/>
        </w:rPr>
        <w:t>第四部分</w:t>
      </w:r>
    </w:p>
    <w:p>
      <w:pPr>
        <w:ind w:firstLine="3500" w:firstLineChars="500"/>
        <w:jc w:val="both"/>
        <w:rPr>
          <w:rFonts w:hint="eastAsia" w:ascii="黑体" w:eastAsia="黑体" w:cs="黑体"/>
          <w:color w:val="000000"/>
          <w:kern w:val="0"/>
          <w:sz w:val="70"/>
          <w:szCs w:val="70"/>
        </w:rPr>
      </w:pPr>
      <w:r>
        <w:rPr>
          <w:rFonts w:hint="eastAsia" w:ascii="黑体" w:eastAsia="黑体" w:cs="黑体"/>
          <w:color w:val="000000"/>
          <w:kern w:val="0"/>
          <w:sz w:val="70"/>
          <w:szCs w:val="70"/>
        </w:rPr>
        <w:t>名词解释</w:t>
      </w:r>
    </w:p>
    <w:p>
      <w:pPr>
        <w:pStyle w:val="2"/>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widowControl/>
        <w:shd w:val="clear" w:color="auto" w:fill="FFFFFF"/>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一、财政拨款收入：指财政当年拨付的资金。包括一般公共预算财政拨款和政府性基金预算财政拨款。</w:t>
      </w:r>
    </w:p>
    <w:p>
      <w:pPr>
        <w:widowControl/>
        <w:shd w:val="clear" w:color="auto" w:fill="FFFFFF"/>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二、上级补助收入：指事业单位从主管部门和上级单位取得的非财政补助收入。 </w:t>
      </w:r>
    </w:p>
    <w:p>
      <w:pPr>
        <w:widowControl/>
        <w:shd w:val="clear" w:color="auto" w:fill="FFFFFF"/>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三、事业收入：指事业单位开展专业业务活动及辅助活动所取得的收入。 </w:t>
      </w:r>
    </w:p>
    <w:p>
      <w:pPr>
        <w:widowControl/>
        <w:shd w:val="clear" w:color="auto" w:fill="FFFFFF"/>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四、经营收入：指事业单位在专业业务活动及其辅助活动之外开展非独立核算经营活动取得的收入。 </w:t>
      </w:r>
    </w:p>
    <w:p>
      <w:pPr>
        <w:widowControl/>
        <w:shd w:val="clear" w:color="auto" w:fill="FFFFFF"/>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五、附属单位上缴收入：指事业单位附属独立核算单位按照有关规定上缴的收入。 </w:t>
      </w:r>
    </w:p>
    <w:p>
      <w:pPr>
        <w:widowControl/>
        <w:shd w:val="clear" w:color="auto" w:fill="FFFFFF"/>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 xml:space="preserve">六、其他收入：指除上述“财政拨款收入”、“事业收入”、“经营收入”等以外的收入。 </w:t>
      </w:r>
    </w:p>
    <w:p>
      <w:pPr>
        <w:widowControl/>
        <w:shd w:val="clear" w:color="auto" w:fill="FFFFFF"/>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七、基本支出：指为保障机构正常运转、完成日常工作任务而发生的各项支出，包括人员支出和公用支出。  </w:t>
      </w:r>
    </w:p>
    <w:p>
      <w:pPr>
        <w:widowControl/>
        <w:shd w:val="clear" w:color="auto" w:fill="FFFFFF"/>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八、项目支出：指在基本支出以外为完成相关行政任务和事业发展目标所发生的各项支出。  </w:t>
      </w:r>
    </w:p>
    <w:p>
      <w:pPr>
        <w:widowControl/>
        <w:shd w:val="clear" w:color="auto" w:fill="FFFFFF"/>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九、“三公”经费：指通过财政拨款资金安排的因公出国（境）费、公务用车购置及运行费和公务接待费支出。  </w:t>
      </w:r>
    </w:p>
    <w:p>
      <w:pPr>
        <w:widowControl/>
        <w:shd w:val="clear" w:color="auto" w:fill="FFFFFF"/>
        <w:ind w:firstLine="640" w:firstLineChars="200"/>
        <w:jc w:val="left"/>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2"/>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十一、红火蚁是一种对农业生态环境和公共安全造成严重威胁的外来有害生物,近年传入我国台湾,香港及广东等地.红火蚁入侵后对农业造成经济损失,破坏生态环境及威胁公共安全.</w:t>
      </w:r>
    </w:p>
    <w:p>
      <w:pPr>
        <w:pStyle w:val="12"/>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十二、草地贪夜蛾（学名：Spodoptera frugiperda）：是夜蛾科</w:t>
      </w:r>
      <w:r>
        <w:rPr>
          <w:rFonts w:hint="eastAsia" w:cs="黑体" w:asciiTheme="minorEastAsia" w:hAnsiTheme="minorEastAsia" w:eastAsiaTheme="minorEastAsia"/>
          <w:color w:val="000000"/>
          <w:kern w:val="0"/>
          <w:sz w:val="32"/>
          <w:szCs w:val="32"/>
          <w:lang w:val="en-US" w:eastAsia="zh-CN" w:bidi="ar-SA"/>
        </w:rPr>
        <w:fldChar w:fldCharType="begin"/>
      </w:r>
      <w:r>
        <w:rPr>
          <w:rFonts w:hint="eastAsia" w:cs="黑体" w:asciiTheme="minorEastAsia" w:hAnsiTheme="minorEastAsia" w:eastAsiaTheme="minorEastAsia"/>
          <w:color w:val="000000"/>
          <w:kern w:val="0"/>
          <w:sz w:val="32"/>
          <w:szCs w:val="32"/>
          <w:lang w:val="en-US" w:eastAsia="zh-CN" w:bidi="ar-SA"/>
        </w:rPr>
        <w:instrText xml:space="preserve"> HYPERLINK "https://baike.baidu.com/item/%E7%81%B0%E7%BF%85%E5%A4%9C%E8%9B%BE%E5%B1%9E/814627" \t "https://baike.baidu.com/item/%E8%8D%89%E5%9C%B0%E8%B4%AA%E5%A4%9C%E8%9B%BE/_blank" </w:instrText>
      </w:r>
      <w:r>
        <w:rPr>
          <w:rFonts w:hint="eastAsia" w:cs="黑体" w:asciiTheme="minorEastAsia" w:hAnsiTheme="minorEastAsia" w:eastAsiaTheme="minorEastAsia"/>
          <w:color w:val="000000"/>
          <w:kern w:val="0"/>
          <w:sz w:val="32"/>
          <w:szCs w:val="32"/>
          <w:lang w:val="en-US" w:eastAsia="zh-CN" w:bidi="ar-SA"/>
        </w:rPr>
        <w:fldChar w:fldCharType="separate"/>
      </w:r>
      <w:r>
        <w:rPr>
          <w:rFonts w:hint="eastAsia" w:cs="黑体" w:asciiTheme="minorEastAsia" w:hAnsiTheme="minorEastAsia" w:eastAsiaTheme="minorEastAsia"/>
          <w:color w:val="000000"/>
          <w:kern w:val="0"/>
          <w:sz w:val="32"/>
          <w:szCs w:val="32"/>
          <w:lang w:val="en-US" w:eastAsia="zh-CN" w:bidi="ar-SA"/>
        </w:rPr>
        <w:t>灰翅夜蛾属</w:t>
      </w:r>
      <w:r>
        <w:rPr>
          <w:rFonts w:hint="eastAsia" w:cs="黑体" w:asciiTheme="minorEastAsia" w:hAnsiTheme="minorEastAsia" w:eastAsiaTheme="minorEastAsia"/>
          <w:color w:val="000000"/>
          <w:kern w:val="0"/>
          <w:sz w:val="32"/>
          <w:szCs w:val="32"/>
          <w:lang w:val="en-US" w:eastAsia="zh-CN" w:bidi="ar-SA"/>
        </w:rPr>
        <w:fldChar w:fldCharType="end"/>
      </w:r>
      <w:r>
        <w:rPr>
          <w:rFonts w:hint="eastAsia" w:cs="黑体" w:asciiTheme="minorEastAsia" w:hAnsiTheme="minorEastAsia" w:eastAsiaTheme="minorEastAsia"/>
          <w:color w:val="000000"/>
          <w:kern w:val="0"/>
          <w:sz w:val="32"/>
          <w:szCs w:val="32"/>
          <w:lang w:val="en-US" w:eastAsia="zh-CN" w:bidi="ar-SA"/>
        </w:rPr>
        <w:t>的一种蛾。</w:t>
      </w:r>
      <w:r>
        <w:rPr>
          <w:rFonts w:hint="eastAsia" w:cs="黑体" w:asciiTheme="minorEastAsia" w:hAnsiTheme="minorEastAsia" w:eastAsiaTheme="minorEastAsia"/>
          <w:color w:val="000000"/>
          <w:kern w:val="0"/>
          <w:sz w:val="32"/>
          <w:szCs w:val="32"/>
          <w:lang w:val="en-US" w:eastAsia="zh-CN" w:bidi="ar-SA"/>
        </w:rPr>
        <w:fldChar w:fldCharType="begin"/>
      </w:r>
      <w:r>
        <w:rPr>
          <w:rFonts w:hint="eastAsia" w:cs="黑体" w:asciiTheme="minorEastAsia" w:hAnsiTheme="minorEastAsia" w:eastAsiaTheme="minorEastAsia"/>
          <w:color w:val="000000"/>
          <w:kern w:val="0"/>
          <w:sz w:val="32"/>
          <w:szCs w:val="32"/>
          <w:lang w:val="en-US" w:eastAsia="zh-CN" w:bidi="ar-SA"/>
        </w:rPr>
        <w:instrText xml:space="preserve"> HYPERLINK "https://baike.baidu.com/item/%E6%88%90%E8%99%AB/3411582" \t "https://baike.baidu.com/item/%E8%8D%89%E5%9C%B0%E8%B4%AA%E5%A4%9C%E8%9B%BE/_blank" </w:instrText>
      </w:r>
      <w:r>
        <w:rPr>
          <w:rFonts w:hint="eastAsia" w:cs="黑体" w:asciiTheme="minorEastAsia" w:hAnsiTheme="minorEastAsia" w:eastAsiaTheme="minorEastAsia"/>
          <w:color w:val="000000"/>
          <w:kern w:val="0"/>
          <w:sz w:val="32"/>
          <w:szCs w:val="32"/>
          <w:lang w:val="en-US" w:eastAsia="zh-CN" w:bidi="ar-SA"/>
        </w:rPr>
        <w:fldChar w:fldCharType="separate"/>
      </w:r>
      <w:r>
        <w:rPr>
          <w:rFonts w:hint="eastAsia" w:cs="黑体" w:asciiTheme="minorEastAsia" w:hAnsiTheme="minorEastAsia" w:eastAsiaTheme="minorEastAsia"/>
          <w:color w:val="000000"/>
          <w:kern w:val="0"/>
          <w:sz w:val="32"/>
          <w:szCs w:val="32"/>
          <w:lang w:val="en-US" w:eastAsia="zh-CN" w:bidi="ar-SA"/>
        </w:rPr>
        <w:t>成虫</w:t>
      </w:r>
      <w:r>
        <w:rPr>
          <w:rFonts w:hint="eastAsia" w:cs="黑体" w:asciiTheme="minorEastAsia" w:hAnsiTheme="minorEastAsia" w:eastAsiaTheme="minorEastAsia"/>
          <w:color w:val="000000"/>
          <w:kern w:val="0"/>
          <w:sz w:val="32"/>
          <w:szCs w:val="32"/>
          <w:lang w:val="en-US" w:eastAsia="zh-CN" w:bidi="ar-SA"/>
        </w:rPr>
        <w:fldChar w:fldCharType="end"/>
      </w:r>
      <w:r>
        <w:rPr>
          <w:rFonts w:hint="eastAsia" w:cs="黑体" w:asciiTheme="minorEastAsia" w:hAnsiTheme="minorEastAsia" w:eastAsiaTheme="minorEastAsia"/>
          <w:color w:val="000000"/>
          <w:kern w:val="0"/>
          <w:sz w:val="32"/>
          <w:szCs w:val="32"/>
          <w:lang w:val="en-US" w:eastAsia="zh-CN" w:bidi="ar-SA"/>
        </w:rPr>
        <w:t>在夜间活动，在植物叶子顶部产约100粒卵，卵阶段是在25℃的温度下持续3天。新孵出的幼虫以卵壳本身为食，然后静置2-10小时。幼虫即毛毛虫更喜欢以新叶为食，由于它们的食性习惯，通常会各自找到一片新叶。幼虫改变皮肤七次，并在最后的一次离开墨囊，穿透0.5厘米深的土壤，在那里它们变成蛹。蛹阶段在一年中最热的时期持续约10-12天。成虫的寿命约为12天，该有害生物的完整周期仅为30天。</w:t>
      </w:r>
    </w:p>
    <w:p>
      <w:pPr>
        <w:pStyle w:val="12"/>
        <w:ind w:firstLine="640" w:firstLineChars="200"/>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十三、病虫害控制是指对农作物病、虫、草、鼠防控防治，大力推广农业、物理、化学、生物防治相结合的防治措施，大力推广高效、低毒、低残留的环保型农药和生物农药。</w:t>
      </w:r>
    </w:p>
    <w:p>
      <w:pPr>
        <w:ind w:firstLine="560" w:firstLineChars="200"/>
        <w:jc w:val="left"/>
        <w:rPr>
          <w:rFonts w:hint="eastAsia" w:ascii="宋体" w:hAnsi="宋体" w:cs="黑体"/>
          <w:color w:val="000000"/>
          <w:kern w:val="0"/>
          <w:sz w:val="28"/>
          <w:szCs w:val="28"/>
          <w:lang w:val="en-US" w:eastAsia="zh-CN" w:bidi="ar-SA"/>
        </w:rPr>
      </w:pPr>
    </w:p>
    <w:p>
      <w:pPr>
        <w:pStyle w:val="2"/>
        <w:rPr>
          <w:rFonts w:hint="eastAsia" w:ascii="宋体" w:hAnsi="宋体" w:cs="黑体"/>
          <w:color w:val="000000"/>
          <w:kern w:val="0"/>
          <w:sz w:val="28"/>
          <w:szCs w:val="28"/>
          <w:lang w:val="en-US" w:eastAsia="zh-CN" w:bidi="ar-SA"/>
        </w:rPr>
      </w:pPr>
    </w:p>
    <w:p>
      <w:pPr>
        <w:pStyle w:val="2"/>
        <w:rPr>
          <w:rFonts w:hint="eastAsia" w:ascii="宋体" w:hAnsi="宋体" w:cs="黑体"/>
          <w:color w:val="000000"/>
          <w:kern w:val="0"/>
          <w:sz w:val="28"/>
          <w:szCs w:val="28"/>
          <w:lang w:val="en-US" w:eastAsia="zh-CN" w:bidi="ar-SA"/>
        </w:rPr>
      </w:pPr>
    </w:p>
    <w:p>
      <w:pPr>
        <w:pStyle w:val="2"/>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p>
    <w:p>
      <w:pPr>
        <w:pStyle w:val="12"/>
        <w:jc w:val="center"/>
        <w:rPr>
          <w:rFonts w:hint="eastAsia"/>
          <w:sz w:val="72"/>
          <w:szCs w:val="72"/>
        </w:rPr>
      </w:pPr>
      <w:r>
        <w:rPr>
          <w:rFonts w:hint="eastAsia"/>
          <w:sz w:val="72"/>
          <w:szCs w:val="72"/>
        </w:rPr>
        <w:t>第五部分</w:t>
      </w:r>
    </w:p>
    <w:p>
      <w:pPr>
        <w:pStyle w:val="12"/>
        <w:jc w:val="center"/>
        <w:rPr>
          <w:rFonts w:hint="eastAsia"/>
          <w:sz w:val="72"/>
          <w:szCs w:val="72"/>
        </w:rPr>
      </w:pPr>
    </w:p>
    <w:p>
      <w:pPr>
        <w:pStyle w:val="12"/>
        <w:jc w:val="center"/>
        <w:rPr>
          <w:rFonts w:hint="eastAsia" w:eastAsia="黑体"/>
          <w:sz w:val="72"/>
          <w:szCs w:val="72"/>
          <w:lang w:eastAsia="zh-CN"/>
        </w:rPr>
      </w:pPr>
      <w:r>
        <w:rPr>
          <w:rFonts w:hint="eastAsia"/>
          <w:sz w:val="72"/>
          <w:szCs w:val="72"/>
          <w:lang w:eastAsia="zh-CN"/>
        </w:rPr>
        <w:t>附件</w:t>
      </w:r>
    </w:p>
    <w:p>
      <w:pPr>
        <w:jc w:val="center"/>
        <w:rPr>
          <w:rFonts w:ascii="黑体" w:eastAsia="黑体" w:cs="黑体"/>
          <w:color w:val="000000"/>
          <w:kern w:val="0"/>
          <w:sz w:val="70"/>
          <w:szCs w:val="70"/>
        </w:rPr>
      </w:pPr>
    </w:p>
    <w:p>
      <w:pPr>
        <w:jc w:val="left"/>
        <w:rPr>
          <w:rFonts w:hint="eastAsia" w:ascii="宋体" w:hAnsi="宋体" w:eastAsia="宋体" w:cs="宋体"/>
          <w:b/>
          <w:bCs/>
          <w:color w:val="000000"/>
          <w:kern w:val="0"/>
          <w:sz w:val="32"/>
          <w:szCs w:val="32"/>
        </w:rPr>
      </w:pPr>
    </w:p>
    <w:p>
      <w:pPr>
        <w:jc w:val="left"/>
        <w:rPr>
          <w:rFonts w:hint="eastAsia" w:ascii="宋体" w:hAnsi="宋体" w:eastAsia="宋体" w:cs="宋体"/>
          <w:b/>
          <w:bCs/>
          <w:color w:val="000000"/>
          <w:kern w:val="0"/>
          <w:sz w:val="32"/>
          <w:szCs w:val="32"/>
        </w:rPr>
      </w:pPr>
    </w:p>
    <w:p>
      <w:pPr>
        <w:jc w:val="left"/>
        <w:rPr>
          <w:rFonts w:hint="eastAsia" w:ascii="宋体" w:hAnsi="宋体" w:eastAsia="宋体" w:cs="宋体"/>
          <w:b/>
          <w:bCs/>
          <w:color w:val="000000"/>
          <w:kern w:val="0"/>
          <w:sz w:val="32"/>
          <w:szCs w:val="32"/>
        </w:rPr>
      </w:pPr>
    </w:p>
    <w:p>
      <w:pPr>
        <w:jc w:val="left"/>
        <w:rPr>
          <w:rFonts w:hint="eastAsia" w:ascii="宋体" w:hAnsi="宋体" w:eastAsia="宋体" w:cs="宋体"/>
          <w:b/>
          <w:bCs/>
          <w:color w:val="000000"/>
          <w:kern w:val="0"/>
          <w:sz w:val="32"/>
          <w:szCs w:val="32"/>
        </w:rPr>
      </w:pPr>
    </w:p>
    <w:p>
      <w:pPr>
        <w:jc w:val="left"/>
        <w:rPr>
          <w:rFonts w:hint="eastAsia" w:ascii="宋体" w:hAnsi="宋体" w:eastAsia="宋体" w:cs="宋体"/>
          <w:b/>
          <w:bCs/>
          <w:color w:val="000000"/>
          <w:kern w:val="0"/>
          <w:sz w:val="32"/>
          <w:szCs w:val="32"/>
        </w:rPr>
      </w:pPr>
    </w:p>
    <w:p>
      <w:pPr>
        <w:jc w:val="left"/>
        <w:rPr>
          <w:rFonts w:hint="eastAsia" w:ascii="宋体" w:hAnsi="宋体" w:eastAsia="宋体" w:cs="宋体"/>
          <w:b/>
          <w:bCs/>
          <w:color w:val="000000"/>
          <w:kern w:val="0"/>
          <w:sz w:val="32"/>
          <w:szCs w:val="32"/>
        </w:rPr>
      </w:pPr>
    </w:p>
    <w:p>
      <w:pPr>
        <w:jc w:val="left"/>
        <w:rPr>
          <w:rFonts w:hint="eastAsia" w:ascii="宋体" w:hAnsi="宋体" w:eastAsia="宋体" w:cs="宋体"/>
          <w:b/>
          <w:bCs/>
          <w:color w:val="000000"/>
          <w:kern w:val="0"/>
          <w:sz w:val="32"/>
          <w:szCs w:val="32"/>
        </w:rPr>
      </w:pPr>
    </w:p>
    <w:p>
      <w:pPr>
        <w:jc w:val="left"/>
        <w:rPr>
          <w:rFonts w:hint="eastAsia" w:ascii="宋体" w:hAnsi="宋体" w:eastAsia="宋体" w:cs="宋体"/>
          <w:b/>
          <w:bCs/>
          <w:color w:val="000000"/>
          <w:kern w:val="0"/>
          <w:sz w:val="32"/>
          <w:szCs w:val="32"/>
        </w:rPr>
      </w:pPr>
    </w:p>
    <w:p>
      <w:pPr>
        <w:jc w:val="left"/>
        <w:rPr>
          <w:rFonts w:hint="eastAsia" w:ascii="宋体" w:hAnsi="宋体" w:eastAsia="宋体" w:cs="宋体"/>
          <w:b/>
          <w:bCs/>
          <w:color w:val="000000"/>
          <w:kern w:val="0"/>
          <w:sz w:val="32"/>
          <w:szCs w:val="32"/>
        </w:rPr>
      </w:pPr>
    </w:p>
    <w:p>
      <w:pPr>
        <w:jc w:val="left"/>
        <w:rPr>
          <w:rFonts w:hint="eastAsia" w:ascii="宋体" w:hAnsi="宋体" w:eastAsia="宋体" w:cs="宋体"/>
          <w:b/>
          <w:bCs/>
          <w:color w:val="000000"/>
          <w:kern w:val="0"/>
          <w:sz w:val="32"/>
          <w:szCs w:val="32"/>
        </w:rPr>
      </w:pPr>
    </w:p>
    <w:p>
      <w:pPr>
        <w:jc w:val="left"/>
        <w:rPr>
          <w:rFonts w:hint="eastAsia" w:ascii="宋体" w:hAnsi="宋体" w:eastAsia="宋体" w:cs="宋体"/>
          <w:b/>
          <w:bCs/>
          <w:color w:val="000000"/>
          <w:kern w:val="0"/>
          <w:sz w:val="32"/>
          <w:szCs w:val="32"/>
          <w:lang w:eastAsia="zh-CN"/>
        </w:rPr>
      </w:pPr>
      <w:r>
        <w:rPr>
          <w:rFonts w:hint="eastAsia" w:ascii="宋体" w:hAnsi="宋体" w:eastAsia="宋体" w:cs="宋体"/>
          <w:b/>
          <w:bCs/>
          <w:color w:val="000000"/>
          <w:kern w:val="0"/>
          <w:sz w:val="32"/>
          <w:szCs w:val="32"/>
        </w:rPr>
        <w:t>附件</w:t>
      </w:r>
      <w:r>
        <w:rPr>
          <w:rFonts w:hint="eastAsia" w:ascii="宋体" w:hAnsi="宋体" w:eastAsia="宋体" w:cs="宋体"/>
          <w:b/>
          <w:bCs/>
          <w:color w:val="000000"/>
          <w:kern w:val="0"/>
          <w:sz w:val="32"/>
          <w:szCs w:val="32"/>
          <w:lang w:eastAsia="zh-CN"/>
        </w:rPr>
        <w:t>一、</w:t>
      </w:r>
    </w:p>
    <w:p>
      <w:pPr>
        <w:pStyle w:val="2"/>
      </w:pPr>
    </w:p>
    <w:p>
      <w:pPr>
        <w:keepNext w:val="0"/>
        <w:keepLines w:val="0"/>
        <w:pageBreakBefore w:val="0"/>
        <w:widowControl w:val="0"/>
        <w:kinsoku/>
        <w:wordWrap/>
        <w:overflowPunct/>
        <w:topLinePunct w:val="0"/>
        <w:autoSpaceDE/>
        <w:autoSpaceDN/>
        <w:bidi w:val="0"/>
        <w:snapToGrid/>
        <w:spacing w:line="360" w:lineRule="auto"/>
        <w:ind w:left="622"/>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2020年度</w:t>
      </w:r>
      <w:r>
        <w:rPr>
          <w:rFonts w:hint="eastAsia" w:ascii="方正小标宋简体" w:hAnsi="方正小标宋简体" w:eastAsia="方正小标宋简体" w:cs="方正小标宋简体"/>
          <w:b/>
          <w:bCs/>
          <w:sz w:val="44"/>
          <w:szCs w:val="44"/>
          <w:lang w:eastAsia="zh-CN"/>
        </w:rPr>
        <w:t>永州市植保植检站</w:t>
      </w:r>
      <w:r>
        <w:rPr>
          <w:rFonts w:hint="eastAsia" w:ascii="方正小标宋简体" w:hAnsi="方正小标宋简体" w:eastAsia="方正小标宋简体" w:cs="方正小标宋简体"/>
          <w:b/>
          <w:bCs/>
          <w:sz w:val="44"/>
          <w:szCs w:val="44"/>
        </w:rPr>
        <w:t>部门</w:t>
      </w:r>
    </w:p>
    <w:p>
      <w:pPr>
        <w:keepNext w:val="0"/>
        <w:keepLines w:val="0"/>
        <w:pageBreakBefore w:val="0"/>
        <w:widowControl w:val="0"/>
        <w:kinsoku/>
        <w:wordWrap/>
        <w:overflowPunct/>
        <w:topLinePunct w:val="0"/>
        <w:autoSpaceDE/>
        <w:autoSpaceDN/>
        <w:bidi w:val="0"/>
        <w:snapToGrid/>
        <w:spacing w:line="360" w:lineRule="auto"/>
        <w:ind w:left="622"/>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整体支出绩效自评报告</w:t>
      </w:r>
    </w:p>
    <w:p>
      <w:pPr>
        <w:pStyle w:val="2"/>
        <w:rPr>
          <w:rFonts w:hint="eastAsia"/>
        </w:rPr>
      </w:pPr>
    </w:p>
    <w:p>
      <w:pPr>
        <w:keepNext w:val="0"/>
        <w:keepLines w:val="0"/>
        <w:pageBreakBefore w:val="0"/>
        <w:widowControl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根据《中共中央国务院关于全面实施预算绩效管理的意见》（中发〔2018〕34号）和《中共湖南省委办公厅湖南省人民政府办公厅关于全面实施预算绩效管理的实施意见》（湘办发〔2019〕10号）精神，永州市植保植检站于2021年5月18日至2021年5月21日开展了2020年部门整体支出绩效自评工作，现将有关情况报告如下：</w:t>
      </w:r>
    </w:p>
    <w:p>
      <w:pPr>
        <w:keepNext w:val="0"/>
        <w:keepLines w:val="0"/>
        <w:pageBreakBefore w:val="0"/>
        <w:kinsoku/>
        <w:wordWrap/>
        <w:overflowPunct/>
        <w:topLinePunct w:val="0"/>
        <w:bidi w:val="0"/>
        <w:snapToGrid/>
        <w:spacing w:line="600" w:lineRule="exact"/>
        <w:ind w:firstLine="640" w:firstLineChars="200"/>
        <w:jc w:val="both"/>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一、部门概况</w:t>
      </w:r>
    </w:p>
    <w:p>
      <w:pPr>
        <w:keepNext w:val="0"/>
        <w:keepLines w:val="0"/>
        <w:pageBreakBefore w:val="0"/>
        <w:widowControl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（一）部门基本情况</w:t>
      </w:r>
    </w:p>
    <w:p>
      <w:pPr>
        <w:keepNext w:val="0"/>
        <w:keepLines w:val="0"/>
        <w:pageBreakBefore w:val="0"/>
        <w:widowControl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val="en-US" w:eastAsia="zh-CN"/>
        </w:rPr>
        <w:t xml:space="preserve"> 1.</w:t>
      </w:r>
      <w:r>
        <w:rPr>
          <w:rFonts w:hint="eastAsia" w:ascii="仿宋_GB2312" w:hAnsi="仿宋_GB2312" w:eastAsia="仿宋_GB2312" w:cs="仿宋_GB2312"/>
          <w:b/>
          <w:bCs w:val="0"/>
          <w:sz w:val="32"/>
          <w:szCs w:val="32"/>
          <w:lang w:eastAsia="zh-CN"/>
        </w:rPr>
        <w:t>部门职能概述</w:t>
      </w:r>
    </w:p>
    <w:p>
      <w:pPr>
        <w:keepNext w:val="0"/>
        <w:keepLines w:val="0"/>
        <w:pageBreakBefore w:val="0"/>
        <w:widowControl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Cs/>
          <w:sz w:val="32"/>
          <w:szCs w:val="32"/>
          <w:lang w:val="en-US" w:eastAsia="zh-CN"/>
        </w:rPr>
      </w:pPr>
      <w:bookmarkStart w:id="0" w:name="_GoBack"/>
      <w:r>
        <w:rPr>
          <w:rFonts w:hint="eastAsia" w:ascii="仿宋_GB2312" w:hAnsi="仿宋_GB2312" w:eastAsia="仿宋_GB2312" w:cs="仿宋_GB2312"/>
          <w:bCs/>
          <w:sz w:val="32"/>
          <w:szCs w:val="32"/>
          <w:lang w:val="en-US" w:eastAsia="zh-CN"/>
        </w:rPr>
        <w:t>2020年，市植保植检站认真贯彻“预防为主，综合防治”的植保工作方针和“公共植保、绿色植保、科学植保”的工作理念，以农业增产、农民增收为目标，以柑橘黄龙病疫情防控为重点，大力开展专业化统防统治与绿色防控融合推进，强化病虫监测预警，积极抓好主要农作物重大病虫害大面积综合防控，有效地保障了全市农业稳产增产和农</w:t>
      </w:r>
      <w:bookmarkEnd w:id="0"/>
      <w:r>
        <w:rPr>
          <w:rFonts w:hint="eastAsia" w:ascii="仿宋_GB2312" w:hAnsi="仿宋_GB2312" w:eastAsia="仿宋_GB2312" w:cs="仿宋_GB2312"/>
          <w:bCs/>
          <w:sz w:val="32"/>
          <w:szCs w:val="32"/>
          <w:lang w:val="en-US" w:eastAsia="zh-CN"/>
        </w:rPr>
        <w:t>产品质量安全。</w:t>
      </w:r>
    </w:p>
    <w:p>
      <w:pPr>
        <w:keepNext w:val="0"/>
        <w:keepLines w:val="0"/>
        <w:pageBreakBefore w:val="0"/>
        <w:widowControl w:val="0"/>
        <w:kinsoku/>
        <w:wordWrap/>
        <w:overflowPunct/>
        <w:topLinePunct w:val="0"/>
        <w:autoSpaceDE/>
        <w:autoSpaceDN/>
        <w:bidi w:val="0"/>
        <w:spacing w:line="360" w:lineRule="auto"/>
        <w:ind w:firstLine="640" w:firstLineChars="200"/>
        <w:textAlignment w:val="auto"/>
        <w:rPr>
          <w:rFonts w:hint="eastAsia" w:ascii="仿宋_GB2312" w:hAnsi="仿宋_GB2312" w:eastAsia="仿宋_GB2312" w:cs="仿宋_GB2312"/>
          <w:b/>
          <w:bCs/>
          <w:color w:val="000000"/>
          <w:kern w:val="0"/>
          <w:sz w:val="32"/>
          <w:szCs w:val="32"/>
          <w:lang w:eastAsia="zh-CN"/>
        </w:rPr>
      </w:pPr>
      <w:r>
        <w:rPr>
          <w:rFonts w:hint="eastAsia" w:ascii="仿宋_GB2312" w:hAnsi="仿宋_GB2312" w:eastAsia="仿宋_GB2312" w:cs="仿宋_GB2312"/>
          <w:b/>
          <w:bCs/>
          <w:color w:val="000000"/>
          <w:kern w:val="0"/>
          <w:sz w:val="32"/>
          <w:szCs w:val="32"/>
          <w:lang w:val="en-US" w:eastAsia="zh-CN"/>
        </w:rPr>
        <w:t>2.</w:t>
      </w:r>
      <w:r>
        <w:rPr>
          <w:rFonts w:hint="eastAsia" w:ascii="仿宋_GB2312" w:hAnsi="仿宋_GB2312" w:eastAsia="仿宋_GB2312" w:cs="仿宋_GB2312"/>
          <w:b/>
          <w:bCs/>
          <w:color w:val="000000"/>
          <w:kern w:val="0"/>
          <w:sz w:val="32"/>
          <w:szCs w:val="32"/>
          <w:lang w:eastAsia="zh-CN"/>
        </w:rPr>
        <w:t>机构设置</w:t>
      </w:r>
    </w:p>
    <w:p>
      <w:pPr>
        <w:keepNext w:val="0"/>
        <w:keepLines w:val="0"/>
        <w:pageBreakBefore w:val="0"/>
        <w:widowControl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市植保植检站属于正科级事业单位，机构1个，我单位编制为9人，小车1台已参加了车改，公车运行维护费为平台租车费。2020年末，我单位共有人员为19人，其中：退休人员10人，在职人员9人，含新进研究生1名。</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（二）</w:t>
      </w:r>
      <w:r>
        <w:rPr>
          <w:rFonts w:hint="eastAsia" w:ascii="仿宋_GB2312" w:hAnsi="仿宋_GB2312" w:eastAsia="仿宋_GB2312" w:cs="仿宋_GB2312"/>
          <w:b/>
          <w:bCs w:val="0"/>
          <w:sz w:val="32"/>
          <w:szCs w:val="32"/>
        </w:rPr>
        <w:t>部门整体支出</w:t>
      </w:r>
      <w:r>
        <w:rPr>
          <w:rFonts w:hint="eastAsia" w:ascii="仿宋_GB2312" w:hAnsi="仿宋_GB2312" w:eastAsia="仿宋_GB2312" w:cs="仿宋_GB2312"/>
          <w:b/>
          <w:bCs w:val="0"/>
          <w:sz w:val="32"/>
          <w:szCs w:val="32"/>
          <w:lang w:eastAsia="zh-CN"/>
        </w:rPr>
        <w:t>情况</w:t>
      </w:r>
    </w:p>
    <w:p>
      <w:pPr>
        <w:keepNext w:val="0"/>
        <w:keepLines w:val="0"/>
        <w:pageBreakBefore w:val="0"/>
        <w:widowControl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color w:val="auto"/>
          <w:sz w:val="32"/>
          <w:szCs w:val="32"/>
          <w:lang w:val="en-US" w:eastAsia="zh-CN"/>
        </w:rPr>
        <w:t>2020年永州市植保植检站收入年初预算107.64万元，年中预算调整27.71万元（含新进研究生1名人员经费和</w:t>
      </w:r>
      <w:r>
        <w:rPr>
          <w:rFonts w:hint="eastAsia" w:ascii="仿宋_GB2312" w:hAnsi="仿宋_GB2312" w:eastAsia="仿宋_GB2312" w:cs="仿宋_GB2312"/>
          <w:bCs/>
          <w:sz w:val="32"/>
          <w:szCs w:val="32"/>
          <w:lang w:val="en-US" w:eastAsia="zh-CN"/>
        </w:rPr>
        <w:t>市财政统筹安排的综治奖及基本养老、医疗保险缴费共计27.71万元</w:t>
      </w:r>
      <w:r>
        <w:rPr>
          <w:rFonts w:hint="eastAsia" w:ascii="仿宋_GB2312" w:hAnsi="仿宋_GB2312" w:eastAsia="仿宋_GB2312" w:cs="仿宋_GB2312"/>
          <w:bCs/>
          <w:color w:val="auto"/>
          <w:sz w:val="32"/>
          <w:szCs w:val="32"/>
          <w:lang w:val="en-US" w:eastAsia="zh-CN"/>
        </w:rPr>
        <w:t>），全年总收入171.28万元。其中一般公共预算财政拨款收入135.36万元，上级补助收入35.92万元</w:t>
      </w:r>
      <w:r>
        <w:rPr>
          <w:rFonts w:hint="eastAsia" w:ascii="仿宋_GB2312" w:hAnsi="仿宋_GB2312" w:eastAsia="仿宋_GB2312" w:cs="仿宋_GB2312"/>
          <w:bCs/>
          <w:sz w:val="32"/>
          <w:szCs w:val="32"/>
          <w:lang w:val="en-US" w:eastAsia="zh-CN"/>
        </w:rPr>
        <w:t>。</w:t>
      </w:r>
    </w:p>
    <w:p>
      <w:pPr>
        <w:keepNext w:val="0"/>
        <w:keepLines w:val="0"/>
        <w:pageBreakBefore w:val="0"/>
        <w:widowControl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2020年市植保植检站全年总支出150.54万元，</w:t>
      </w:r>
    </w:p>
    <w:p>
      <w:pPr>
        <w:keepNext w:val="0"/>
        <w:keepLines w:val="0"/>
        <w:pageBreakBefore w:val="0"/>
        <w:widowControl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sz w:val="32"/>
          <w:szCs w:val="32"/>
          <w:lang w:val="en-US" w:eastAsia="zh-CN"/>
        </w:rPr>
        <w:t>其中：社</w:t>
      </w:r>
      <w:r>
        <w:rPr>
          <w:rFonts w:hint="eastAsia" w:ascii="仿宋_GB2312" w:hAnsi="仿宋_GB2312" w:eastAsia="仿宋_GB2312" w:cs="仿宋_GB2312"/>
          <w:bCs/>
          <w:color w:val="auto"/>
          <w:sz w:val="32"/>
          <w:szCs w:val="32"/>
          <w:lang w:val="en-US" w:eastAsia="zh-CN"/>
        </w:rPr>
        <w:t>会保障和就业支出8.98万元，主要用于保障单位基本养老保险缴费支出。</w:t>
      </w:r>
    </w:p>
    <w:p>
      <w:pPr>
        <w:keepNext w:val="0"/>
        <w:keepLines w:val="0"/>
        <w:pageBreakBefore w:val="0"/>
        <w:widowControl w:val="0"/>
        <w:kinsoku/>
        <w:wordWrap/>
        <w:overflowPunct/>
        <w:topLinePunct w:val="0"/>
        <w:autoSpaceDE/>
        <w:autoSpaceDN/>
        <w:bidi w:val="0"/>
        <w:snapToGrid/>
        <w:spacing w:line="360" w:lineRule="auto"/>
        <w:ind w:firstLine="640" w:firstLineChars="200"/>
        <w:rPr>
          <w:rFonts w:hint="eastAsia" w:ascii="仿宋_GB2312" w:hAnsi="仿宋" w:eastAsia="仿宋_GB2312" w:cs="Times New Roman"/>
          <w:sz w:val="32"/>
          <w:szCs w:val="32"/>
          <w:lang w:val="en-US" w:eastAsia="zh-CN"/>
        </w:rPr>
      </w:pPr>
      <w:r>
        <w:rPr>
          <w:rFonts w:hint="eastAsia" w:ascii="仿宋_GB2312" w:hAnsi="仿宋_GB2312" w:eastAsia="仿宋_GB2312" w:cs="仿宋_GB2312"/>
          <w:bCs/>
          <w:color w:val="auto"/>
          <w:sz w:val="32"/>
          <w:szCs w:val="32"/>
          <w:lang w:val="en-US" w:eastAsia="zh-CN"/>
        </w:rPr>
        <w:t>农</w:t>
      </w:r>
      <w:r>
        <w:rPr>
          <w:rFonts w:hint="eastAsia" w:ascii="仿宋_GB2312" w:hAnsi="仿宋" w:eastAsia="仿宋_GB2312" w:cs="Times New Roman"/>
          <w:sz w:val="32"/>
          <w:szCs w:val="32"/>
          <w:lang w:val="en-US" w:eastAsia="zh-CN"/>
        </w:rPr>
        <w:t>林水支出141.56万元，包括行政运行114.62万元，主要用于保障站人员经费和机构正常运转、完成日常工作任务而发生的公用经费等；病虫防治支出35.92万元，主要用于病虫害防控及植保防控（该资金为省级专项资金，已参加省级的专项资金绩效自评）。</w:t>
      </w:r>
    </w:p>
    <w:p>
      <w:pPr>
        <w:wordWrap/>
        <w:spacing w:before="0" w:after="0" w:line="560" w:lineRule="exact"/>
        <w:ind w:left="0" w:leftChars="0" w:right="0" w:firstLine="640"/>
        <w:textAlignment w:val="auto"/>
        <w:outlineLvl w:val="9"/>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结余20.73万元，年终结余20.73万元是因为财政今年支付系统关帐早，有没来得及支付的应付在职工30%绩效工资6.73万元（按照考核全年一次性发放）、没有支付应付购办公用品款1.5万元、没有付应付单位职工候春晖挂帐各项款7.8万元、没有支付应付购农药款4.7万元（用于试验试范)。</w:t>
      </w:r>
    </w:p>
    <w:p>
      <w:pPr>
        <w:keepNext w:val="0"/>
        <w:keepLines w:val="0"/>
        <w:pageBreakBefore w:val="0"/>
        <w:widowControl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二、部门（单位）整体支出管理及使用情况</w:t>
      </w:r>
    </w:p>
    <w:p>
      <w:pPr>
        <w:keepNext w:val="0"/>
        <w:keepLines w:val="0"/>
        <w:pageBreakBefore w:val="0"/>
        <w:widowControl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（一）基本支出</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color w:val="auto"/>
          <w:sz w:val="32"/>
          <w:szCs w:val="32"/>
          <w:lang w:val="en-US" w:eastAsia="zh-CN"/>
        </w:rPr>
        <w:t>020年市植保植检站基本支出预算107.64万元，年中预算调整27.71万元（含新进一名研究生人员经费和市财政统筹安排的综治奖及基本养老、医疗保险缴费共计27.71万元）全年基本支出114.62万元，年末结转和结余20.73万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基本支出主要用于机构正常运转、完成日常工作任务而发生的各项支出，包括用于在职人员基本工资、津贴补贴、奖金、绩效工资等人员经费以及办公费、印刷费、水电费、办公设备购置等日常公用经费。全年基本支出114.62万元，较上年减少25.31万元，下降18%，其中人员经费95.83万元，占基本支出的83.6%，比上年减少33.99万元，下降26%；公用经费18.79万元，占基本支出的16.4%，比上年增加8.68万元，增长86%。增加的主要原因为2020年较上年增加了农作物病虫突发事件增加支出。</w:t>
      </w:r>
    </w:p>
    <w:p>
      <w:pPr>
        <w:keepNext w:val="0"/>
        <w:keepLines w:val="0"/>
        <w:pageBreakBefore w:val="0"/>
        <w:widowControl w:val="0"/>
        <w:kinsoku/>
        <w:wordWrap/>
        <w:overflowPunct/>
        <w:topLinePunct w:val="0"/>
        <w:autoSpaceDE/>
        <w:autoSpaceDN/>
        <w:bidi w:val="0"/>
        <w:snapToGrid/>
        <w:spacing w:line="360" w:lineRule="auto"/>
        <w:ind w:firstLine="640" w:firstLineChars="200"/>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（二）专项支出</w:t>
      </w:r>
    </w:p>
    <w:p>
      <w:pPr>
        <w:pStyle w:val="12"/>
        <w:keepNext w:val="0"/>
        <w:keepLines w:val="0"/>
        <w:pageBreakBefore w:val="0"/>
        <w:widowControl w:val="0"/>
        <w:kinsoku/>
        <w:wordWrap/>
        <w:overflowPunct/>
        <w:topLinePunct w:val="0"/>
        <w:autoSpaceDE w:val="0"/>
        <w:autoSpaceDN w:val="0"/>
        <w:bidi w:val="0"/>
        <w:adjustRightInd w:val="0"/>
        <w:snapToGrid/>
        <w:spacing w:line="360" w:lineRule="auto"/>
        <w:ind w:firstLine="640" w:firstLineChars="200"/>
        <w:jc w:val="left"/>
        <w:textAlignment w:val="auto"/>
        <w:rPr>
          <w:rFonts w:hint="default"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Cs/>
          <w:color w:val="auto"/>
          <w:sz w:val="32"/>
          <w:szCs w:val="32"/>
          <w:lang w:val="en-US" w:eastAsia="zh-CN"/>
        </w:rPr>
        <w:t>2020年市植保植检站项目支出预算为0万元，省级</w:t>
      </w:r>
      <w:r>
        <w:rPr>
          <w:rFonts w:hint="eastAsia" w:ascii="仿宋_GB2312" w:hAnsi="仿宋_GB2312" w:eastAsia="仿宋_GB2312" w:cs="仿宋_GB2312"/>
          <w:bCs/>
          <w:sz w:val="32"/>
          <w:szCs w:val="32"/>
          <w:lang w:val="en-US" w:eastAsia="zh-CN"/>
        </w:rPr>
        <w:t>病虫害防控及植保防控</w:t>
      </w:r>
      <w:r>
        <w:rPr>
          <w:rFonts w:hint="eastAsia" w:ascii="仿宋_GB2312" w:hAnsi="仿宋_GB2312" w:eastAsia="仿宋_GB2312" w:cs="仿宋_GB2312"/>
          <w:bCs/>
          <w:color w:val="auto"/>
          <w:sz w:val="32"/>
          <w:szCs w:val="32"/>
          <w:lang w:val="en-US" w:eastAsia="zh-CN"/>
        </w:rPr>
        <w:t>专项资金35.92万元（已参加省级专项资金自评）。</w:t>
      </w:r>
    </w:p>
    <w:p>
      <w:pPr>
        <w:keepNext w:val="0"/>
        <w:keepLines w:val="0"/>
        <w:pageBreakBefore w:val="0"/>
        <w:widowControl w:val="0"/>
        <w:kinsoku/>
        <w:wordWrap/>
        <w:overflowPunct/>
        <w:topLinePunct w:val="0"/>
        <w:autoSpaceDE/>
        <w:autoSpaceDN/>
        <w:bidi w:val="0"/>
        <w:snapToGrid/>
        <w:spacing w:line="360" w:lineRule="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三、部门专项组织实施情况</w:t>
      </w:r>
    </w:p>
    <w:p>
      <w:pPr>
        <w:spacing w:line="360" w:lineRule="auto"/>
        <w:rPr>
          <w:rFonts w:hint="eastAsia" w:ascii="仿宋_GB2312" w:hAnsi="仿宋_GB2312" w:eastAsia="仿宋_GB2312" w:cs="仿宋_GB2312"/>
          <w:bCs/>
          <w:color w:val="auto"/>
          <w:sz w:val="32"/>
          <w:szCs w:val="32"/>
          <w:lang w:eastAsia="zh-CN"/>
        </w:rPr>
      </w:pPr>
      <w:r>
        <w:rPr>
          <w:rFonts w:hint="eastAsia" w:ascii="仿宋_GB2312" w:hAnsi="仿宋_GB2312" w:eastAsia="仿宋_GB2312" w:cs="仿宋_GB2312"/>
          <w:bCs/>
          <w:color w:val="auto"/>
          <w:sz w:val="32"/>
          <w:szCs w:val="32"/>
        </w:rPr>
        <w:t>（一）专项组织情况分析</w:t>
      </w:r>
      <w:r>
        <w:rPr>
          <w:rFonts w:hint="eastAsia" w:ascii="仿宋_GB2312" w:hAnsi="仿宋_GB2312" w:eastAsia="仿宋_GB2312" w:cs="仿宋_GB2312"/>
          <w:bCs/>
          <w:color w:val="auto"/>
          <w:sz w:val="32"/>
          <w:szCs w:val="32"/>
          <w:lang w:eastAsia="zh-CN"/>
        </w:rPr>
        <w:t>（无）</w:t>
      </w:r>
    </w:p>
    <w:p>
      <w:pPr>
        <w:numPr>
          <w:ilvl w:val="0"/>
          <w:numId w:val="0"/>
        </w:numPr>
        <w:spacing w:line="360" w:lineRule="auto"/>
        <w:rPr>
          <w:rFonts w:hint="eastAsia" w:ascii="仿宋_GB2312" w:hAnsi="仿宋_GB2312" w:eastAsia="仿宋_GB2312" w:cs="仿宋_GB2312"/>
          <w:bCs/>
          <w:color w:val="auto"/>
          <w:kern w:val="0"/>
          <w:sz w:val="32"/>
          <w:szCs w:val="32"/>
          <w:lang w:val="en-US" w:eastAsia="zh-CN" w:bidi="ar-SA"/>
        </w:rPr>
      </w:pPr>
      <w:r>
        <w:rPr>
          <w:rFonts w:hint="eastAsia" w:ascii="仿宋_GB2312" w:hAnsi="仿宋_GB2312" w:eastAsia="仿宋_GB2312" w:cs="仿宋_GB2312"/>
          <w:bCs/>
          <w:color w:val="auto"/>
          <w:sz w:val="32"/>
          <w:szCs w:val="32"/>
          <w:lang w:eastAsia="zh-CN"/>
        </w:rPr>
        <w:t>（二）</w:t>
      </w:r>
      <w:r>
        <w:rPr>
          <w:rFonts w:hint="eastAsia" w:ascii="仿宋_GB2312" w:hAnsi="仿宋_GB2312" w:eastAsia="仿宋_GB2312" w:cs="仿宋_GB2312"/>
          <w:bCs/>
          <w:color w:val="auto"/>
          <w:sz w:val="32"/>
          <w:szCs w:val="32"/>
        </w:rPr>
        <w:t>专项管理情况分析</w:t>
      </w:r>
      <w:r>
        <w:rPr>
          <w:rFonts w:hint="eastAsia" w:ascii="仿宋_GB2312" w:hAnsi="仿宋_GB2312" w:eastAsia="仿宋_GB2312" w:cs="仿宋_GB2312"/>
          <w:bCs/>
          <w:color w:val="auto"/>
          <w:sz w:val="32"/>
          <w:szCs w:val="32"/>
          <w:lang w:eastAsia="zh-CN"/>
        </w:rPr>
        <w:t>（无）</w:t>
      </w:r>
    </w:p>
    <w:p>
      <w:pPr>
        <w:wordWrap/>
        <w:spacing w:before="0" w:after="0" w:line="560" w:lineRule="exact"/>
        <w:ind w:right="0"/>
        <w:textAlignment w:val="auto"/>
        <w:outlineLvl w:val="9"/>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四、部门（单位）整体支出绩效情况</w:t>
      </w:r>
    </w:p>
    <w:p>
      <w:pPr>
        <w:spacing w:line="360" w:lineRule="auto"/>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eastAsia="zh-CN"/>
        </w:rPr>
        <w:t>（一）</w:t>
      </w:r>
      <w:r>
        <w:rPr>
          <w:rFonts w:hint="eastAsia" w:ascii="仿宋_GB2312" w:hAnsi="仿宋_GB2312" w:eastAsia="仿宋_GB2312" w:cs="仿宋_GB2312"/>
          <w:b/>
          <w:bCs w:val="0"/>
          <w:sz w:val="32"/>
          <w:szCs w:val="32"/>
        </w:rPr>
        <w:t>预算配置方面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编制数9人，在职人员9人，财政供养人员控制率为100%。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“三公经费”本年预算数1万元，上年预算数4万元，“三公经费”预算变动率为75%，控制较好。</w:t>
      </w:r>
    </w:p>
    <w:p>
      <w:pPr>
        <w:keepNext w:val="0"/>
        <w:keepLines w:val="0"/>
        <w:pageBreakBefore w:val="0"/>
        <w:widowControl w:val="0"/>
        <w:kinsoku/>
        <w:wordWrap/>
        <w:overflowPunct/>
        <w:topLinePunct w:val="0"/>
        <w:autoSpaceDE/>
        <w:autoSpaceDN/>
        <w:bidi w:val="0"/>
        <w:adjustRightInd/>
        <w:snapToGrid/>
        <w:spacing w:line="360" w:lineRule="auto"/>
        <w:ind w:firstLine="320" w:firstLineChars="100"/>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本部门2020年无重点项目支出。</w:t>
      </w:r>
    </w:p>
    <w:p>
      <w:pPr>
        <w:spacing w:line="360" w:lineRule="auto"/>
        <w:rPr>
          <w:rFonts w:hint="eastAsia" w:ascii="仿宋_GB2312" w:hAnsi="仿宋_GB2312" w:eastAsia="仿宋_GB2312" w:cs="仿宋_GB2312"/>
          <w:b/>
          <w:bCs w:val="0"/>
          <w:sz w:val="32"/>
          <w:szCs w:val="32"/>
          <w:lang w:eastAsia="zh-CN"/>
        </w:rPr>
      </w:pPr>
      <w:r>
        <w:rPr>
          <w:rFonts w:hint="eastAsia" w:ascii="仿宋_GB2312" w:hAnsi="仿宋_GB2312" w:eastAsia="仿宋_GB2312" w:cs="仿宋_GB2312"/>
          <w:b/>
          <w:bCs w:val="0"/>
          <w:sz w:val="32"/>
          <w:szCs w:val="32"/>
          <w:lang w:eastAsia="zh-CN"/>
        </w:rPr>
        <w:t>（二）预算执行方面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2020年年初预算107.64万元，年中预算调整27.71万元，（含新进1名研究生人员经费和市财政统筹安排的综治奖及基本养老、医疗保险缴费共计27.71万元），预算调整率为25.7%。</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有结余是因为财政今年支付系统关帐早，有没来得及支付的应付在职工30%绩效工资6.73万元（按照考核全年一次性发放）、没有支付应付购办公用品款1.5万元、没有付应付单位职工候春晖挂帐各项款7.8万元、没有支付应付购农药4.7万元（用于试验试范)。</w:t>
      </w:r>
    </w:p>
    <w:p>
      <w:pPr>
        <w:keepNext w:val="0"/>
        <w:keepLines w:val="0"/>
        <w:pageBreakBefore w:val="0"/>
        <w:widowControl w:val="0"/>
        <w:kinsoku/>
        <w:wordWrap/>
        <w:overflowPunct/>
        <w:topLinePunct w:val="0"/>
        <w:autoSpaceDE/>
        <w:autoSpaceDN/>
        <w:bidi w:val="0"/>
        <w:adjustRightInd/>
        <w:snapToGrid/>
        <w:spacing w:line="360" w:lineRule="auto"/>
        <w:ind w:firstLine="960" w:firstLineChars="3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2020年“三公经费”预算数1万元，本年度市级支出0.89万元，“三公经费”控制率89%。</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（三）预算管理方面 </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kern w:val="2"/>
          <w:sz w:val="32"/>
          <w:szCs w:val="32"/>
          <w:lang w:val="en-US" w:eastAsia="zh-CN" w:bidi="ar-SA"/>
        </w:rPr>
        <w:t>2</w:t>
      </w:r>
      <w:r>
        <w:rPr>
          <w:rFonts w:hint="eastAsia" w:ascii="仿宋_GB2312" w:hAnsi="仿宋_GB2312" w:eastAsia="仿宋_GB2312" w:cs="仿宋_GB2312"/>
          <w:bCs/>
          <w:color w:val="auto"/>
          <w:sz w:val="32"/>
          <w:szCs w:val="32"/>
          <w:lang w:val="en-US" w:eastAsia="zh-CN"/>
        </w:rPr>
        <w:t>020年我站预算管理各项指标控制较好。为加强部门整体支出管理，提高资金和资产的使用效益，提高财务的精细化管理水平，建立了内控制度，并不断进行完善和修订，主要从以下几个方面加强预算管理：</w:t>
      </w:r>
    </w:p>
    <w:p>
      <w:pPr>
        <w:numPr>
          <w:ilvl w:val="0"/>
          <w:numId w:val="2"/>
        </w:numPr>
        <w:wordWrap/>
        <w:spacing w:before="0" w:after="0" w:line="560" w:lineRule="exact"/>
        <w:ind w:left="0" w:leftChars="0" w:right="0" w:firstLine="640" w:firstLineChars="200"/>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sz w:val="32"/>
          <w:szCs w:val="32"/>
          <w:lang w:val="en-US" w:eastAsia="zh-CN"/>
        </w:rPr>
        <w:t>日常财务管理规范有序。</w:t>
      </w:r>
      <w:r>
        <w:rPr>
          <w:rFonts w:hint="eastAsia" w:ascii="仿宋_GB2312" w:hAnsi="仿宋_GB2312" w:eastAsia="仿宋_GB2312" w:cs="仿宋_GB2312"/>
          <w:bCs/>
          <w:color w:val="auto"/>
          <w:kern w:val="2"/>
          <w:sz w:val="32"/>
          <w:szCs w:val="32"/>
          <w:lang w:val="en-US" w:eastAsia="zh-CN" w:bidi="ar-SA"/>
        </w:rPr>
        <w:t>一是严格预算管理。坚持财务收支两条线的科学化管理方法，所有收入全部纳入部门预算、单位财务账目统一管理核算。所有支出遵循先有预算、后有支出的原则，有效杜绝了超预算或无预算安排支出。二是加强支出管理。严格控制“三公”经费。出国（境）严格执行先行审核制度；加强对公务用车的管理和使用；公务接待严格执行招待费开支范围、开支标准的有关规定，严格接待规格和控制陪餐人数，“三公”经费较好地控制在预算范围之内。三是严格遵守报账程序。加强资金的使用管理，坚持经费开支报批审核一支笔。经费报销严格执行审批报销程序和报账手续，注重经费支出的必要性和有效性审核，没有必要的事项和成效不大事项尽量不开支，超预算、超标准、超范围、无政策依据的经费不予支出，有效保证了单位预算执行规范有序。</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sz w:val="32"/>
          <w:szCs w:val="32"/>
          <w:lang w:val="en-US" w:eastAsia="zh-CN"/>
        </w:rPr>
        <w:t>2、促进经费支出节支增效。</w:t>
      </w:r>
      <w:r>
        <w:rPr>
          <w:rFonts w:hint="eastAsia" w:ascii="仿宋_GB2312" w:hAnsi="仿宋_GB2312" w:eastAsia="仿宋_GB2312" w:cs="仿宋_GB2312"/>
          <w:bCs/>
          <w:color w:val="auto"/>
          <w:sz w:val="32"/>
          <w:szCs w:val="32"/>
          <w:lang w:val="en-US" w:eastAsia="zh-CN"/>
        </w:rPr>
        <w:t>遵守量入为出，先预算后开支，厉行节约的原则。贯彻落实省和市关于压缩一般性支出的要求，合理确定一般性支出的范围和标准，提高资金效益，减少浪费。</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kern w:val="2"/>
          <w:sz w:val="32"/>
          <w:szCs w:val="32"/>
          <w:lang w:val="en-US" w:eastAsia="zh-CN" w:bidi="ar-SA"/>
        </w:rPr>
        <w:t>、建立健全内控管理工作机制。</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Cs/>
          <w:color w:val="auto"/>
          <w:kern w:val="2"/>
          <w:sz w:val="32"/>
          <w:szCs w:val="32"/>
          <w:lang w:val="en-US" w:eastAsia="zh-CN" w:bidi="ar-SA"/>
        </w:rPr>
        <w:t>是健全制度体系。制定和完善了《永州市植保植检站财务管理制度》等一系列管理制度，在预算管理、政府采购事项、会议费等支出管理、报账手续等方面作出明确要求。二是强化内部控制监督。开展内控评价和风险评估。制定了2020年度内部控制评价和风险评估工作方案。</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2020年政府采购预算0万元，实际采购0万元，政府采购执行率100%，做好了应采尽采。</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Cs/>
          <w:color w:val="auto"/>
          <w:kern w:val="2"/>
          <w:sz w:val="32"/>
          <w:szCs w:val="32"/>
          <w:lang w:val="en-US" w:eastAsia="zh-CN" w:bidi="ar-SA"/>
        </w:rPr>
        <w:t>2020年公务卡刷卡率为80%。</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4、加强资产管理，减少闲置浪费。</w:t>
      </w:r>
    </w:p>
    <w:p>
      <w:pPr>
        <w:spacing w:line="360" w:lineRule="auto"/>
        <w:ind w:firstLine="640" w:firstLineChars="200"/>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val="0"/>
          <w:bCs w:val="0"/>
          <w:sz w:val="32"/>
          <w:szCs w:val="32"/>
          <w:lang w:val="en-US" w:eastAsia="zh-CN"/>
        </w:rPr>
        <w:t>为</w:t>
      </w:r>
      <w:r>
        <w:rPr>
          <w:rFonts w:hint="eastAsia" w:ascii="仿宋_GB2312" w:hAnsi="仿宋_GB2312" w:eastAsia="仿宋_GB2312" w:cs="仿宋_GB2312"/>
          <w:bCs/>
          <w:color w:val="auto"/>
          <w:kern w:val="2"/>
          <w:sz w:val="32"/>
          <w:szCs w:val="32"/>
          <w:lang w:val="en-US" w:eastAsia="zh-CN" w:bidi="ar-SA"/>
        </w:rPr>
        <w:t>确保新政府会计制度顺利实施，办公室按要求及时、准确开展资产清查工作，全面上报了国有资产报表数据。并将国有资产全部纳入新的财务软件系统和行政事业单位资产管理信息系统管理，每月及时上报。针对各科室制定了健全完整的资产管理制度，固定资产的添置，由各科室提出预算，分管领导审核，交办公室汇总后，送分管财务领导审核，报站长审批后，实行统一集中采购，统一登记造册分发。并建立固定资产登记台帐，工作人员异动，必须及时办理固定资产移交手续，不得侵占和擅自带走。各科室不得擅自购买任何办公用品和设备，否则不予报销做到帐物核实，资有所管，责任到人，固定资产利用率达</w:t>
      </w:r>
      <w:r>
        <w:rPr>
          <w:rFonts w:hint="default" w:ascii="仿宋_GB2312" w:hAnsi="仿宋_GB2312" w:eastAsia="仿宋_GB2312" w:cs="仿宋_GB2312"/>
          <w:bCs/>
          <w:color w:val="auto"/>
          <w:kern w:val="2"/>
          <w:sz w:val="32"/>
          <w:szCs w:val="32"/>
          <w:lang w:val="en-US" w:eastAsia="zh-CN" w:bidi="ar-SA"/>
        </w:rPr>
        <w:t>100%</w:t>
      </w:r>
      <w:r>
        <w:rPr>
          <w:rFonts w:hint="eastAsia" w:ascii="仿宋_GB2312" w:hAnsi="仿宋_GB2312" w:eastAsia="仿宋_GB2312" w:cs="仿宋_GB2312"/>
          <w:bCs/>
          <w:color w:val="auto"/>
          <w:kern w:val="2"/>
          <w:sz w:val="32"/>
          <w:szCs w:val="32"/>
          <w:lang w:val="en-US" w:eastAsia="zh-CN" w:bidi="ar-SA"/>
        </w:rPr>
        <w:t>。</w:t>
      </w:r>
    </w:p>
    <w:p>
      <w:pPr>
        <w:numPr>
          <w:ilvl w:val="0"/>
          <w:numId w:val="3"/>
        </w:numPr>
        <w:pBdr>
          <w:bottom w:val="single" w:color="FFFFFF" w:sz="4" w:space="31"/>
        </w:pBdr>
        <w:tabs>
          <w:tab w:val="left" w:pos="1440"/>
        </w:tabs>
        <w:wordWrap/>
        <w:adjustRightInd w:val="0"/>
        <w:snapToGrid w:val="0"/>
        <w:spacing w:before="0" w:after="0" w:line="560" w:lineRule="exact"/>
        <w:ind w:left="0" w:leftChars="0" w:right="0" w:firstLine="640" w:firstLineChars="200"/>
        <w:textAlignment w:val="auto"/>
        <w:outlineLvl w:val="9"/>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sz w:val="32"/>
          <w:szCs w:val="32"/>
          <w:lang w:val="en-US" w:eastAsia="zh-CN"/>
        </w:rPr>
        <w:t>认真落实部门预决算公开制度。</w:t>
      </w:r>
      <w:r>
        <w:rPr>
          <w:rFonts w:hint="eastAsia" w:ascii="仿宋_GB2312" w:hAnsi="仿宋_GB2312" w:eastAsia="仿宋_GB2312" w:cs="仿宋_GB2312"/>
          <w:bCs/>
          <w:color w:val="auto"/>
          <w:kern w:val="2"/>
          <w:sz w:val="32"/>
          <w:szCs w:val="32"/>
          <w:lang w:val="en-US" w:eastAsia="zh-CN" w:bidi="ar-SA"/>
        </w:rPr>
        <w:t>按照统一要求和部署，我站于2020年2月7日在门户网站公开了2020年部门预算；于2020年9月18日公开了2019年部门决算；对2019年度部门整体支出进行了绩效评价，各项指标控制较好，按要求上报绩效评价报告并于公开。各项应向社会公开的信息及时、完整、真实，信息透明度提高，社会反响良好。</w:t>
      </w:r>
    </w:p>
    <w:p>
      <w:pPr>
        <w:numPr>
          <w:ilvl w:val="0"/>
          <w:numId w:val="0"/>
        </w:numPr>
        <w:pBdr>
          <w:bottom w:val="single" w:color="FFFFFF" w:sz="4" w:space="31"/>
        </w:pBdr>
        <w:tabs>
          <w:tab w:val="left" w:pos="1440"/>
        </w:tabs>
        <w:wordWrap/>
        <w:adjustRightInd w:val="0"/>
        <w:snapToGrid w:val="0"/>
        <w:spacing w:before="0" w:after="0" w:line="560" w:lineRule="exact"/>
        <w:ind w:right="0" w:rightChars="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（四）、履职尽责、履职效益</w:t>
      </w:r>
    </w:p>
    <w:p>
      <w:pPr>
        <w:numPr>
          <w:ilvl w:val="0"/>
          <w:numId w:val="0"/>
        </w:numPr>
        <w:pBdr>
          <w:bottom w:val="single" w:color="FFFFFF" w:sz="4" w:space="31"/>
        </w:pBdr>
        <w:tabs>
          <w:tab w:val="left" w:pos="1440"/>
        </w:tabs>
        <w:wordWrap/>
        <w:adjustRightInd w:val="0"/>
        <w:snapToGrid w:val="0"/>
        <w:spacing w:before="0" w:after="0" w:line="560" w:lineRule="exact"/>
        <w:ind w:right="0" w:rightChars="0" w:firstLine="320" w:firstLineChars="1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1.继续狠抓柑橘黄龙病防控，保障柑橘产业安全。、</w:t>
      </w:r>
      <w:r>
        <w:rPr>
          <w:rFonts w:hint="eastAsia" w:ascii="仿宋_GB2312" w:hAnsi="仿宋_GB2312" w:eastAsia="仿宋_GB2312" w:cs="仿宋_GB2312"/>
          <w:bCs/>
          <w:color w:val="auto"/>
          <w:kern w:val="2"/>
          <w:sz w:val="32"/>
          <w:szCs w:val="32"/>
          <w:lang w:val="en-US" w:eastAsia="zh-CN" w:bidi="ar-SA"/>
        </w:rPr>
        <w:t>各县区、管理区按照技术要求建立高标准综合防控示范区，辐射带动果农开展综合防控，2020年全市新建柑橘黄龙病综合防控示范样板19个，示范样板总数达到34个。</w:t>
      </w:r>
    </w:p>
    <w:p>
      <w:pPr>
        <w:numPr>
          <w:ilvl w:val="0"/>
          <w:numId w:val="0"/>
        </w:numPr>
        <w:pBdr>
          <w:bottom w:val="single" w:color="FFFFFF" w:sz="4" w:space="31"/>
        </w:pBdr>
        <w:tabs>
          <w:tab w:val="left" w:pos="1440"/>
        </w:tabs>
        <w:wordWrap/>
        <w:adjustRightInd w:val="0"/>
        <w:snapToGrid w:val="0"/>
        <w:spacing w:before="0" w:after="0" w:line="560" w:lineRule="exact"/>
        <w:ind w:right="0" w:rightChars="0" w:firstLine="320" w:firstLineChars="1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2.大力推进专业化统防统治和绿色防控，促进农药减量控害</w:t>
      </w:r>
      <w:r>
        <w:rPr>
          <w:rFonts w:hint="eastAsia" w:ascii="仿宋_GB2312" w:hAnsi="仿宋_GB2312" w:eastAsia="仿宋_GB2312" w:cs="仿宋_GB2312"/>
          <w:b w:val="0"/>
          <w:bCs w:val="0"/>
          <w:sz w:val="32"/>
          <w:szCs w:val="32"/>
          <w:lang w:val="en-US" w:eastAsia="zh-CN"/>
        </w:rPr>
        <w:t>。2020年全市专业化统防统治总服务面积为311.73万亩，绿色防控面积为257.5万亩，涉及水稻、柑橘、油菜、蔬菜及其他作物。</w:t>
      </w:r>
    </w:p>
    <w:p>
      <w:pPr>
        <w:numPr>
          <w:ilvl w:val="0"/>
          <w:numId w:val="0"/>
        </w:numPr>
        <w:pBdr>
          <w:bottom w:val="single" w:color="FFFFFF" w:sz="4" w:space="31"/>
        </w:pBdr>
        <w:tabs>
          <w:tab w:val="left" w:pos="1440"/>
        </w:tabs>
        <w:wordWrap/>
        <w:adjustRightInd w:val="0"/>
        <w:snapToGrid w:val="0"/>
        <w:spacing w:before="0" w:after="0" w:line="560" w:lineRule="exact"/>
        <w:ind w:right="0" w:rightChars="0" w:firstLine="320" w:firstLineChars="1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bCs/>
          <w:sz w:val="32"/>
          <w:szCs w:val="32"/>
          <w:lang w:val="en-US" w:eastAsia="zh-CN"/>
        </w:rPr>
        <w:t>狠抓农作物重大病虫害防控，确保农业生产安全。</w:t>
      </w:r>
      <w:r>
        <w:rPr>
          <w:rFonts w:hint="eastAsia" w:ascii="仿宋_GB2312" w:hAnsi="仿宋_GB2312" w:eastAsia="仿宋_GB2312" w:cs="仿宋_GB2312"/>
          <w:b w:val="0"/>
          <w:bCs w:val="0"/>
          <w:sz w:val="32"/>
          <w:szCs w:val="32"/>
          <w:lang w:val="en-US" w:eastAsia="zh-CN"/>
        </w:rPr>
        <w:t>2020年全市水稻二化螟发生面积390.75万亩次，防治面积367.43万亩次，挽回损失6.05万吨，实际损失0.69万吨，发生面积较上年略减，损失略降。大力推进统防统治、应急防治、联防联控和群防群治，有效地控制了草贪危害，保障了我市玉米生产安全。</w:t>
      </w:r>
    </w:p>
    <w:p>
      <w:pPr>
        <w:numPr>
          <w:ilvl w:val="0"/>
          <w:numId w:val="0"/>
        </w:numPr>
        <w:pBdr>
          <w:bottom w:val="single" w:color="FFFFFF" w:sz="4" w:space="31"/>
        </w:pBdr>
        <w:tabs>
          <w:tab w:val="left" w:pos="1440"/>
        </w:tabs>
        <w:wordWrap/>
        <w:adjustRightInd w:val="0"/>
        <w:snapToGrid w:val="0"/>
        <w:spacing w:before="0" w:after="0" w:line="560" w:lineRule="exact"/>
        <w:ind w:right="0" w:rightChars="0" w:firstLine="320" w:firstLineChars="1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4.夯实病虫监测预报，科学指导病虫防治。</w:t>
      </w:r>
      <w:r>
        <w:rPr>
          <w:rFonts w:hint="eastAsia" w:ascii="仿宋_GB2312" w:hAnsi="仿宋_GB2312" w:eastAsia="仿宋_GB2312" w:cs="仿宋_GB2312"/>
          <w:b w:val="0"/>
          <w:bCs w:val="0"/>
          <w:sz w:val="32"/>
          <w:szCs w:val="32"/>
          <w:lang w:val="en-US" w:eastAsia="zh-CN"/>
        </w:rPr>
        <w:t>2020年全市累计被省网站采用的各类信息稿25篇。同时各县区均将全年的《病虫情报》挂在省植保网上，方便学习交流。</w:t>
      </w:r>
    </w:p>
    <w:p>
      <w:pPr>
        <w:numPr>
          <w:ilvl w:val="0"/>
          <w:numId w:val="0"/>
        </w:numPr>
        <w:pBdr>
          <w:bottom w:val="single" w:color="FFFFFF" w:sz="4" w:space="31"/>
        </w:pBdr>
        <w:tabs>
          <w:tab w:val="left" w:pos="1440"/>
        </w:tabs>
        <w:wordWrap/>
        <w:adjustRightInd w:val="0"/>
        <w:snapToGrid w:val="0"/>
        <w:spacing w:before="0" w:after="0" w:line="560" w:lineRule="exact"/>
        <w:ind w:right="0" w:rightChars="0" w:firstLine="320" w:firstLineChars="1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5.加强植物检疫执法和疫情防控，确保农业生产安全。一是及时开展疫情普查与监测。</w:t>
      </w:r>
      <w:r>
        <w:rPr>
          <w:rFonts w:hint="eastAsia" w:ascii="仿宋_GB2312" w:hAnsi="仿宋_GB2312" w:eastAsia="仿宋_GB2312" w:cs="仿宋_GB2312"/>
          <w:b w:val="0"/>
          <w:bCs w:val="0"/>
          <w:sz w:val="32"/>
          <w:szCs w:val="32"/>
          <w:lang w:val="en-US" w:eastAsia="zh-CN"/>
        </w:rPr>
        <w:t>根据实际需要及时分发到12个乡镇开展农区统一灭鼠工作，并深入多个村组指导监督农区秋季统一灭鼠工作的有序开展，效果显著。</w:t>
      </w:r>
    </w:p>
    <w:p>
      <w:pPr>
        <w:numPr>
          <w:ilvl w:val="0"/>
          <w:numId w:val="0"/>
        </w:numPr>
        <w:snapToGrid w:val="0"/>
        <w:spacing w:line="520" w:lineRule="exact"/>
        <w:ind w:firstLine="320" w:firstLineChars="100"/>
        <w:rPr>
          <w:rFonts w:hint="eastAsia" w:eastAsia="仿宋_GB2312"/>
          <w:sz w:val="32"/>
          <w:szCs w:val="32"/>
          <w:lang w:eastAsia="zh-CN"/>
        </w:rPr>
      </w:pPr>
      <w:r>
        <w:rPr>
          <w:rFonts w:hint="eastAsia" w:ascii="仿宋_GB2312" w:hAnsi="仿宋_GB2312" w:eastAsia="仿宋_GB2312" w:cs="仿宋_GB2312"/>
          <w:b/>
          <w:bCs/>
          <w:sz w:val="32"/>
          <w:szCs w:val="32"/>
          <w:lang w:val="en-US" w:eastAsia="zh-CN"/>
        </w:rPr>
        <w:t>6.积极开展植保科研合作，大力推广植保新技术新产品。</w:t>
      </w:r>
      <w:r>
        <w:rPr>
          <w:rFonts w:hint="eastAsia" w:ascii="Times New Roman" w:hAnsi="Times New Roman" w:eastAsia="仿宋_GB2312"/>
          <w:sz w:val="32"/>
          <w:szCs w:val="32"/>
        </w:rPr>
        <w:t>全年推广大中型高效植保机械120台，高效植保机械保有量6200台、植保无人机保有量196台</w:t>
      </w:r>
      <w:r>
        <w:rPr>
          <w:rFonts w:hint="eastAsia" w:eastAsia="仿宋_GB2312"/>
          <w:sz w:val="32"/>
          <w:szCs w:val="32"/>
          <w:lang w:eastAsia="zh-CN"/>
        </w:rPr>
        <w:t>。</w:t>
      </w:r>
    </w:p>
    <w:p>
      <w:pPr>
        <w:numPr>
          <w:ilvl w:val="0"/>
          <w:numId w:val="0"/>
        </w:numPr>
        <w:snapToGrid w:val="0"/>
        <w:spacing w:line="520" w:lineRule="exact"/>
        <w:ind w:firstLine="320" w:firstLineChars="100"/>
        <w:rPr>
          <w:rFonts w:hint="eastAsia" w:ascii="仿宋_GB2312" w:hAnsi="仿宋" w:eastAsia="仿宋_GB2312" w:cs="Times New Roman"/>
          <w:b w:val="0"/>
          <w:bCs w:val="0"/>
          <w:sz w:val="32"/>
          <w:szCs w:val="32"/>
          <w:lang w:val="en-US" w:eastAsia="zh-CN"/>
        </w:rPr>
      </w:pPr>
      <w:r>
        <w:rPr>
          <w:rFonts w:hint="eastAsia" w:ascii="仿宋_GB2312" w:hAnsi="仿宋" w:eastAsia="仿宋_GB2312" w:cs="Times New Roman"/>
          <w:b w:val="0"/>
          <w:bCs w:val="0"/>
          <w:sz w:val="32"/>
          <w:szCs w:val="32"/>
          <w:lang w:val="en-US" w:eastAsia="zh-CN"/>
        </w:rPr>
        <w:t>我站高度重视绩效评价工作，根据市财政局的要求，成立了由吕平源站长任组长的领导小组，结合实际情况制订了自评方案，完善了评价指标体系，明确由站长室、财务室牵头，组织各科室开展绩效自评。</w:t>
      </w:r>
    </w:p>
    <w:p>
      <w:pPr>
        <w:numPr>
          <w:ilvl w:val="0"/>
          <w:numId w:val="0"/>
        </w:numPr>
        <w:snapToGrid w:val="0"/>
        <w:spacing w:line="520" w:lineRule="exact"/>
        <w:ind w:firstLine="320" w:firstLineChars="100"/>
        <w:rPr>
          <w:rFonts w:hint="eastAsia" w:ascii="仿宋_GB2312" w:hAnsi="仿宋" w:eastAsia="仿宋_GB2312" w:cs="Times New Roman"/>
          <w:b w:val="0"/>
          <w:bCs w:val="0"/>
          <w:sz w:val="32"/>
          <w:szCs w:val="32"/>
          <w:lang w:val="en-US" w:eastAsia="zh-CN"/>
        </w:rPr>
      </w:pPr>
      <w:r>
        <w:rPr>
          <w:rFonts w:hint="eastAsia" w:ascii="仿宋_GB2312" w:hAnsi="仿宋" w:eastAsia="仿宋_GB2312" w:cs="Times New Roman"/>
          <w:b w:val="0"/>
          <w:bCs w:val="0"/>
          <w:sz w:val="32"/>
          <w:szCs w:val="32"/>
          <w:lang w:val="en-US" w:eastAsia="zh-CN"/>
        </w:rPr>
        <w:t>评价工作分四阶段进行：第一阶段前期准备，制定自评工作方案和指标评价体系，部署工作，明确要求。第二阶段结合编制部门决算，对站本级单位的整体支出情况进行了检查，审阅了单位的凭证，查阅了账簿，对预算收支情况进行了核实。第三阶段为终评阶段，认真总结分析自评，综合评议后形成评价结论，出具绩效评价报告。第四阶段整理相关资料并归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2020年度，市植保植检站根据年初工作计划、监督工作计划的要求、认真履行职责，较好地完成了年初确定的各项工作任务，为推进全市农业发展作出了积极贡献。</w:t>
      </w:r>
      <w:r>
        <w:rPr>
          <w:rFonts w:hint="eastAsia" w:ascii="仿宋_GB2312" w:hAnsi="仿宋_GB2312" w:eastAsia="仿宋_GB2312" w:cs="仿宋_GB2312"/>
          <w:b w:val="0"/>
          <w:bCs w:val="0"/>
          <w:sz w:val="32"/>
          <w:szCs w:val="32"/>
          <w:lang w:val="en-US" w:eastAsia="zh-CN"/>
        </w:rPr>
        <w:t>确保为民办实事和部门重点工程与重点工作都出色完成，绩效考核都为优秀，没有发生重大安全事故。经评价工作小组对照</w:t>
      </w:r>
      <w:r>
        <w:rPr>
          <w:rFonts w:hint="default"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lang w:val="en-US" w:eastAsia="zh-CN"/>
        </w:rPr>
        <w:t>20年部门整体支出绩效目标进行综合分析评价，在预算配置、预算执行、预算管理、资产管理、绩效管理、职责履行、履职效益等方面落实情况较好，</w:t>
      </w:r>
      <w:r>
        <w:rPr>
          <w:rFonts w:hint="eastAsia" w:ascii="仿宋_GB2312" w:hAnsi="仿宋_GB2312" w:eastAsia="仿宋_GB2312" w:cs="仿宋_GB2312"/>
          <w:b w:val="0"/>
          <w:bCs w:val="0"/>
          <w:color w:val="auto"/>
          <w:sz w:val="32"/>
          <w:szCs w:val="32"/>
          <w:lang w:val="en-US" w:eastAsia="zh-CN"/>
        </w:rPr>
        <w:t>根据《部门整体支出绩效自评表表》自评分98分（详见附件5），部门整体支出绩效为“优”。</w:t>
      </w:r>
    </w:p>
    <w:p>
      <w:pPr>
        <w:numPr>
          <w:ilvl w:val="0"/>
          <w:numId w:val="0"/>
        </w:numPr>
        <w:pBdr>
          <w:bottom w:val="single" w:color="FFFFFF" w:sz="4" w:space="31"/>
        </w:pBdr>
        <w:tabs>
          <w:tab w:val="left" w:pos="1440"/>
        </w:tabs>
        <w:wordWrap/>
        <w:adjustRightInd w:val="0"/>
        <w:snapToGrid w:val="0"/>
        <w:spacing w:before="0" w:after="0" w:line="560" w:lineRule="exact"/>
        <w:ind w:right="0" w:rightChars="0" w:firstLine="320" w:firstLineChars="100"/>
        <w:textAlignment w:val="auto"/>
        <w:outlineLvl w:val="9"/>
        <w:rPr>
          <w:rFonts w:hint="eastAsia" w:ascii="Times New Roman" w:hAnsi="Times New Roman" w:eastAsia="仿宋_GB2312"/>
          <w:sz w:val="32"/>
          <w:szCs w:val="32"/>
        </w:rPr>
      </w:pPr>
    </w:p>
    <w:p>
      <w:pPr>
        <w:numPr>
          <w:ilvl w:val="0"/>
          <w:numId w:val="0"/>
        </w:numPr>
        <w:pBdr>
          <w:bottom w:val="single" w:color="FFFFFF" w:sz="4" w:space="31"/>
        </w:pBdr>
        <w:tabs>
          <w:tab w:val="left" w:pos="1440"/>
        </w:tabs>
        <w:wordWrap/>
        <w:adjustRightInd w:val="0"/>
        <w:snapToGrid w:val="0"/>
        <w:spacing w:before="0" w:after="0" w:line="560" w:lineRule="exact"/>
        <w:ind w:right="0" w:rightChars="0" w:firstLine="320" w:firstLineChars="1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五.存在的主要问题</w:t>
      </w:r>
    </w:p>
    <w:p>
      <w:pPr>
        <w:numPr>
          <w:ilvl w:val="0"/>
          <w:numId w:val="0"/>
        </w:numPr>
        <w:pBdr>
          <w:bottom w:val="single" w:color="FFFFFF" w:sz="4" w:space="31"/>
        </w:pBdr>
        <w:tabs>
          <w:tab w:val="left" w:pos="1440"/>
        </w:tabs>
        <w:wordWrap/>
        <w:adjustRightInd w:val="0"/>
        <w:snapToGrid w:val="0"/>
        <w:spacing w:before="0" w:after="0" w:line="560" w:lineRule="exact"/>
        <w:ind w:right="0" w:rightChars="0" w:firstLine="320" w:firstLineChars="1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（一）科学编制预算。</w:t>
      </w:r>
      <w:r>
        <w:rPr>
          <w:rFonts w:hint="eastAsia" w:ascii="仿宋_GB2312" w:hAnsi="仿宋_GB2312" w:eastAsia="仿宋_GB2312" w:cs="仿宋_GB2312"/>
          <w:b w:val="0"/>
          <w:bCs w:val="0"/>
          <w:sz w:val="32"/>
          <w:szCs w:val="32"/>
          <w:lang w:val="en-US" w:eastAsia="zh-CN"/>
        </w:rPr>
        <w:t>加强支出分析，增强对各项经济活动的预判能力，提高预算编制的科学性。</w:t>
      </w:r>
    </w:p>
    <w:p>
      <w:pPr>
        <w:numPr>
          <w:ilvl w:val="0"/>
          <w:numId w:val="0"/>
        </w:numPr>
        <w:pBdr>
          <w:bottom w:val="single" w:color="FFFFFF" w:sz="4" w:space="31"/>
        </w:pBdr>
        <w:tabs>
          <w:tab w:val="left" w:pos="1440"/>
        </w:tabs>
        <w:wordWrap/>
        <w:adjustRightInd w:val="0"/>
        <w:snapToGrid w:val="0"/>
        <w:spacing w:before="0" w:after="0" w:line="560" w:lineRule="exact"/>
        <w:ind w:right="0" w:rightChars="0" w:firstLine="320" w:firstLineChars="100"/>
        <w:textAlignment w:val="auto"/>
        <w:outlineLvl w:val="9"/>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（二）加快执行进度。</w:t>
      </w:r>
      <w:r>
        <w:rPr>
          <w:rFonts w:hint="eastAsia" w:ascii="仿宋_GB2312" w:hAnsi="仿宋_GB2312" w:eastAsia="仿宋_GB2312" w:cs="仿宋_GB2312"/>
          <w:b w:val="0"/>
          <w:bCs w:val="0"/>
          <w:sz w:val="32"/>
          <w:szCs w:val="32"/>
          <w:lang w:val="en-US" w:eastAsia="zh-CN"/>
        </w:rPr>
        <w:t>加强资金支付进度，争取在财政关帐前把当年应支付的款项支付完成。</w:t>
      </w:r>
    </w:p>
    <w:p>
      <w:pPr>
        <w:numPr>
          <w:ilvl w:val="0"/>
          <w:numId w:val="0"/>
        </w:numPr>
        <w:pBdr>
          <w:bottom w:val="single" w:color="FFFFFF" w:sz="4" w:space="31"/>
        </w:pBdr>
        <w:tabs>
          <w:tab w:val="left" w:pos="1440"/>
        </w:tabs>
        <w:wordWrap/>
        <w:adjustRightInd w:val="0"/>
        <w:snapToGrid w:val="0"/>
        <w:spacing w:before="0" w:after="0" w:line="560" w:lineRule="exact"/>
        <w:ind w:right="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（三）加强财务管理。</w:t>
      </w:r>
      <w:r>
        <w:rPr>
          <w:rFonts w:hint="eastAsia" w:ascii="仿宋_GB2312" w:hAnsi="仿宋_GB2312" w:eastAsia="仿宋_GB2312" w:cs="仿宋_GB2312"/>
          <w:b w:val="0"/>
          <w:bCs w:val="0"/>
          <w:sz w:val="32"/>
          <w:szCs w:val="32"/>
          <w:lang w:val="en-US" w:eastAsia="zh-CN"/>
        </w:rPr>
        <w:t>按照预算规定的资金用途进行审核和使用，在预算金额内严格控制超支现象的发生，严格按照实际的费用支出内容进行财务核算，确保财务核算的真实、及时、准确、完整。</w:t>
      </w:r>
    </w:p>
    <w:p>
      <w:pPr>
        <w:numPr>
          <w:ilvl w:val="0"/>
          <w:numId w:val="0"/>
        </w:numPr>
        <w:pBdr>
          <w:bottom w:val="single" w:color="FFFFFF" w:sz="4" w:space="31"/>
        </w:pBdr>
        <w:tabs>
          <w:tab w:val="left" w:pos="1440"/>
        </w:tabs>
        <w:wordWrap/>
        <w:adjustRightInd w:val="0"/>
        <w:snapToGrid w:val="0"/>
        <w:spacing w:before="0" w:after="0" w:line="560" w:lineRule="exact"/>
        <w:ind w:right="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六、（一）建立完善预算绩效管理体系。</w:t>
      </w:r>
      <w:r>
        <w:rPr>
          <w:rFonts w:hint="eastAsia" w:ascii="仿宋_GB2312" w:hAnsi="仿宋_GB2312" w:eastAsia="仿宋_GB2312" w:cs="仿宋_GB2312"/>
          <w:b w:val="0"/>
          <w:bCs w:val="0"/>
          <w:kern w:val="2"/>
          <w:sz w:val="32"/>
          <w:szCs w:val="32"/>
          <w:lang w:val="en-US" w:eastAsia="zh-CN"/>
        </w:rPr>
        <w:t>一</w:t>
      </w:r>
      <w:r>
        <w:rPr>
          <w:rFonts w:hint="eastAsia" w:ascii="仿宋_GB2312" w:hAnsi="仿宋_GB2312" w:eastAsia="仿宋_GB2312" w:cs="仿宋_GB2312"/>
          <w:b w:val="0"/>
          <w:bCs w:val="0"/>
          <w:sz w:val="32"/>
          <w:szCs w:val="32"/>
          <w:lang w:val="en-US" w:eastAsia="zh-CN"/>
        </w:rPr>
        <w:t xml:space="preserve">是做好绩效目标编制工作。在编制部门年度预算时，按照绩效目标编报工作要求，对预算项目的设立依据、产出、效益指标进行细化量化编制，实现绩效目标与部门预算同步编制、同步报送和同步公开。同时，在编制内容上更注重“钱”和“事”的结合，推动单位从“如何用钱”逐步向“如何做事”转变。二是做好预算执行过程监控。对照年初设定的预算绩效目标，对项目的实施进程、资金支出进度和绩效目标的完成情况等进行跟踪、督促，重点对“三公”经费运行等预算项目的实施进行跟踪与管理。同时，通过每个季度对预算执行情况分析，发现执行过程中存在的问题，提出改进措施。 </w:t>
      </w:r>
    </w:p>
    <w:p>
      <w:pPr>
        <w:numPr>
          <w:ilvl w:val="0"/>
          <w:numId w:val="0"/>
        </w:numPr>
        <w:pBdr>
          <w:bottom w:val="single" w:color="FFFFFF" w:sz="4" w:space="31"/>
        </w:pBdr>
        <w:tabs>
          <w:tab w:val="left" w:pos="1440"/>
        </w:tabs>
        <w:wordWrap/>
        <w:adjustRightInd w:val="0"/>
        <w:snapToGrid w:val="0"/>
        <w:spacing w:before="0" w:after="0" w:line="560" w:lineRule="exact"/>
        <w:ind w:right="0"/>
        <w:textAlignment w:val="auto"/>
        <w:outlineLvl w:val="9"/>
        <w:rPr>
          <w:rFonts w:cs="黑体" w:asciiTheme="minorEastAsia" w:hAnsiTheme="minorEastAsia"/>
          <w:color w:val="000000"/>
          <w:kern w:val="0"/>
          <w:sz w:val="32"/>
          <w:szCs w:val="32"/>
        </w:rPr>
      </w:pPr>
      <w:r>
        <w:rPr>
          <w:rFonts w:hint="eastAsia" w:ascii="仿宋_GB2312" w:hAnsi="仿宋_GB2312" w:eastAsia="仿宋_GB2312" w:cs="仿宋_GB2312"/>
          <w:b/>
          <w:bCs/>
          <w:sz w:val="32"/>
          <w:szCs w:val="32"/>
          <w:lang w:val="en-US" w:eastAsia="zh-CN"/>
        </w:rPr>
        <w:t>（二）全面公开绩效自评报告。</w:t>
      </w:r>
      <w:r>
        <w:rPr>
          <w:rFonts w:hint="eastAsia" w:ascii="仿宋_GB2312" w:hAnsi="仿宋_GB2312" w:eastAsia="仿宋_GB2312" w:cs="仿宋_GB2312"/>
          <w:b w:val="0"/>
          <w:bCs w:val="0"/>
          <w:sz w:val="32"/>
          <w:szCs w:val="32"/>
          <w:lang w:val="en-US" w:eastAsia="zh-CN"/>
        </w:rPr>
        <w:t>按要求及时将部门整体支出绩效自评报告在“永州市农业农村局”官网上公开，接受社会监督</w:t>
      </w:r>
    </w:p>
    <w:tbl>
      <w:tblPr>
        <w:tblStyle w:val="8"/>
        <w:tblW w:w="10099" w:type="dxa"/>
        <w:tblInd w:w="0" w:type="dxa"/>
        <w:shd w:val="clear" w:color="auto" w:fill="auto"/>
        <w:tblLayout w:type="fixed"/>
        <w:tblCellMar>
          <w:top w:w="0" w:type="dxa"/>
          <w:left w:w="0" w:type="dxa"/>
          <w:bottom w:w="0" w:type="dxa"/>
          <w:right w:w="0" w:type="dxa"/>
        </w:tblCellMar>
      </w:tblPr>
      <w:tblGrid>
        <w:gridCol w:w="445"/>
        <w:gridCol w:w="1002"/>
        <w:gridCol w:w="1044"/>
        <w:gridCol w:w="4776"/>
        <w:gridCol w:w="492"/>
        <w:gridCol w:w="720"/>
        <w:gridCol w:w="1620"/>
      </w:tblGrid>
      <w:tr>
        <w:tblPrEx>
          <w:tblCellMar>
            <w:top w:w="0" w:type="dxa"/>
            <w:left w:w="0" w:type="dxa"/>
            <w:bottom w:w="0" w:type="dxa"/>
            <w:right w:w="0" w:type="dxa"/>
          </w:tblCellMar>
        </w:tblPrEx>
        <w:trPr>
          <w:trHeight w:val="348" w:hRule="atLeast"/>
        </w:trPr>
        <w:tc>
          <w:tcPr>
            <w:tcW w:w="10099" w:type="dxa"/>
            <w:gridSpan w:val="7"/>
            <w:tcBorders>
              <w:top w:val="nil"/>
              <w:left w:val="nil"/>
              <w:bottom w:val="nil"/>
              <w:right w:val="nil"/>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r>
              <w:rPr>
                <w:rFonts w:hint="default" w:ascii="仿宋_GB2312" w:hAnsi="宋体" w:eastAsia="仿宋_GB2312" w:cs="仿宋_GB2312"/>
                <w:b/>
                <w:i w:val="0"/>
                <w:color w:val="000000"/>
                <w:kern w:val="0"/>
                <w:sz w:val="28"/>
                <w:szCs w:val="28"/>
                <w:u w:val="none"/>
                <w:lang w:val="en-US" w:eastAsia="zh-CN" w:bidi="ar"/>
              </w:rPr>
              <w:t>附件5</w:t>
            </w:r>
          </w:p>
        </w:tc>
      </w:tr>
      <w:tr>
        <w:tblPrEx>
          <w:tblCellMar>
            <w:top w:w="0" w:type="dxa"/>
            <w:left w:w="0" w:type="dxa"/>
            <w:bottom w:w="0" w:type="dxa"/>
            <w:right w:w="0" w:type="dxa"/>
          </w:tblCellMar>
        </w:tblPrEx>
        <w:trPr>
          <w:trHeight w:val="459" w:hRule="atLeast"/>
        </w:trPr>
        <w:tc>
          <w:tcPr>
            <w:tcW w:w="10099" w:type="dxa"/>
            <w:gridSpan w:val="7"/>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2020年度部门整体支出绩效自评表（永州市植保植检站）</w:t>
            </w:r>
          </w:p>
        </w:tc>
      </w:tr>
      <w:tr>
        <w:tblPrEx>
          <w:tblCellMar>
            <w:top w:w="0" w:type="dxa"/>
            <w:left w:w="0" w:type="dxa"/>
            <w:bottom w:w="0" w:type="dxa"/>
            <w:right w:w="0" w:type="dxa"/>
          </w:tblCellMar>
        </w:tblPrEx>
        <w:trPr>
          <w:trHeight w:val="591" w:hRule="atLeast"/>
        </w:trPr>
        <w:tc>
          <w:tcPr>
            <w:tcW w:w="4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一级指标</w:t>
            </w:r>
          </w:p>
        </w:tc>
        <w:tc>
          <w:tcPr>
            <w:tcW w:w="1002"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二级指标</w:t>
            </w:r>
          </w:p>
        </w:tc>
        <w:tc>
          <w:tcPr>
            <w:tcW w:w="1044"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三级指标</w:t>
            </w:r>
          </w:p>
        </w:tc>
        <w:tc>
          <w:tcPr>
            <w:tcW w:w="4776"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评分标准</w:t>
            </w:r>
          </w:p>
        </w:tc>
        <w:tc>
          <w:tcPr>
            <w:tcW w:w="492" w:type="dxa"/>
            <w:tcBorders>
              <w:top w:val="single" w:color="000000" w:sz="8" w:space="0"/>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分值</w:t>
            </w:r>
          </w:p>
        </w:tc>
        <w:tc>
          <w:tcPr>
            <w:tcW w:w="720"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自评得分</w:t>
            </w:r>
          </w:p>
        </w:tc>
        <w:tc>
          <w:tcPr>
            <w:tcW w:w="1620" w:type="dxa"/>
            <w:tcBorders>
              <w:top w:val="single" w:color="000000" w:sz="8" w:space="0"/>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扣分原因和其他说明</w:t>
            </w:r>
          </w:p>
        </w:tc>
      </w:tr>
      <w:tr>
        <w:tblPrEx>
          <w:tblCellMar>
            <w:top w:w="0" w:type="dxa"/>
            <w:left w:w="0" w:type="dxa"/>
            <w:bottom w:w="0" w:type="dxa"/>
            <w:right w:w="0" w:type="dxa"/>
          </w:tblCellMar>
        </w:tblPrEx>
        <w:trPr>
          <w:trHeight w:val="1530" w:hRule="atLeast"/>
        </w:trPr>
        <w:tc>
          <w:tcPr>
            <w:tcW w:w="445"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44"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财政供养人员</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控制率</w:t>
            </w:r>
          </w:p>
        </w:tc>
        <w:tc>
          <w:tcPr>
            <w:tcW w:w="4776"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以100%为标准。在职人员控制率</w:t>
            </w:r>
            <w:r>
              <w:rPr>
                <w:rStyle w:val="16"/>
                <w:lang w:val="en-US" w:eastAsia="zh-CN" w:bidi="ar"/>
              </w:rPr>
              <w:t>≦</w:t>
            </w:r>
            <w:r>
              <w:rPr>
                <w:rStyle w:val="17"/>
                <w:rFonts w:hAnsi="宋体"/>
                <w:lang w:val="en-US" w:eastAsia="zh-CN" w:bidi="ar"/>
              </w:rPr>
              <w:t>100%，计5分；每超过一个百分点扣0.5分，扣完为止。</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w:t>
            </w:r>
          </w:p>
        </w:tc>
        <w:tc>
          <w:tcPr>
            <w:tcW w:w="72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w:t>
            </w:r>
          </w:p>
        </w:tc>
        <w:tc>
          <w:tcPr>
            <w:tcW w:w="162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236" w:hRule="atLeast"/>
        </w:trPr>
        <w:tc>
          <w:tcPr>
            <w:tcW w:w="445"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仿宋_GB2312" w:hAnsi="宋体" w:eastAsia="仿宋_GB2312" w:cs="仿宋_GB2312"/>
                <w:i w:val="0"/>
                <w:color w:val="000000"/>
                <w:sz w:val="22"/>
                <w:szCs w:val="22"/>
                <w:u w:val="none"/>
              </w:rPr>
            </w:pP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705"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“三公经费”变动率</w:t>
            </w: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“三公经费”变动率</w:t>
            </w:r>
            <w:r>
              <w:rPr>
                <w:rStyle w:val="16"/>
                <w:lang w:val="en-US" w:eastAsia="zh-CN" w:bidi="ar"/>
              </w:rPr>
              <w:t>≦</w:t>
            </w:r>
            <w:r>
              <w:rPr>
                <w:rStyle w:val="17"/>
                <w:rFonts w:hAnsi="宋体"/>
                <w:lang w:val="en-US" w:eastAsia="zh-CN" w:bidi="ar"/>
              </w:rPr>
              <w:t>0,计5分；</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w:t>
            </w:r>
          </w:p>
        </w:tc>
        <w:tc>
          <w:tcPr>
            <w:tcW w:w="72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w:t>
            </w:r>
          </w:p>
        </w:tc>
        <w:tc>
          <w:tcPr>
            <w:tcW w:w="162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879" w:hRule="atLeast"/>
        </w:trPr>
        <w:tc>
          <w:tcPr>
            <w:tcW w:w="445"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  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（15分）</w:t>
            </w: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预算配置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（15分）</w:t>
            </w: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“三公经费”＞0，每超过一个百分点扣0.5分，扣完为止。</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191" w:hRule="atLeast"/>
        </w:trPr>
        <w:tc>
          <w:tcPr>
            <w:tcW w:w="445" w:type="dxa"/>
            <w:tcBorders>
              <w:top w:val="nil"/>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重点支出安排率</w:t>
            </w: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重点支出安排率≥90%，计5分；80%（含）-90%，计4分；70%（含）-80%，计3分；60%（含）-70%，计2分；低于60%不得分。</w:t>
            </w:r>
          </w:p>
        </w:tc>
        <w:tc>
          <w:tcPr>
            <w:tcW w:w="49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w:t>
            </w:r>
          </w:p>
        </w:tc>
        <w:tc>
          <w:tcPr>
            <w:tcW w:w="72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w:t>
            </w:r>
          </w:p>
        </w:tc>
        <w:tc>
          <w:tcPr>
            <w:tcW w:w="162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2348" w:hRule="atLeast"/>
        </w:trPr>
        <w:tc>
          <w:tcPr>
            <w:tcW w:w="445"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预算调整率</w:t>
            </w: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预算调整率=0，计3分；0-10%（含），计2分；10-20%（含），计1分；20-30%（含），计0.5分；大于30%不得分。</w:t>
            </w:r>
          </w:p>
        </w:tc>
        <w:tc>
          <w:tcPr>
            <w:tcW w:w="49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72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w:t>
            </w:r>
          </w:p>
        </w:tc>
        <w:tc>
          <w:tcPr>
            <w:tcW w:w="162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年中预算调整27.71万元（含新进研究生1名人员经费和市财政统筹安排的综治奖及基本养老、医疗保险缴费共计27.71万元），</w:t>
            </w:r>
          </w:p>
        </w:tc>
      </w:tr>
      <w:tr>
        <w:tblPrEx>
          <w:tblCellMar>
            <w:top w:w="0" w:type="dxa"/>
            <w:left w:w="0" w:type="dxa"/>
            <w:bottom w:w="0" w:type="dxa"/>
            <w:right w:w="0" w:type="dxa"/>
          </w:tblCellMar>
        </w:tblPrEx>
        <w:trPr>
          <w:trHeight w:val="879" w:hRule="atLeast"/>
        </w:trPr>
        <w:tc>
          <w:tcPr>
            <w:tcW w:w="445"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过  程（40分）</w:t>
            </w: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预算执行</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（15分）</w:t>
            </w:r>
          </w:p>
        </w:tc>
        <w:tc>
          <w:tcPr>
            <w:tcW w:w="10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支付进度</w:t>
            </w: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每出现一个专项未按进度完成资金下达扣0.5分，扣完为止。</w:t>
            </w:r>
          </w:p>
        </w:tc>
        <w:tc>
          <w:tcPr>
            <w:tcW w:w="49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72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162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4815"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资金结余</w:t>
            </w: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无结余，3分；有结余，但不超过上年结转，2分；结余超过上年结转，不得分。</w:t>
            </w:r>
          </w:p>
        </w:tc>
        <w:tc>
          <w:tcPr>
            <w:tcW w:w="49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72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w:t>
            </w:r>
          </w:p>
        </w:tc>
        <w:tc>
          <w:tcPr>
            <w:tcW w:w="1620" w:type="dxa"/>
            <w:tcBorders>
              <w:top w:val="nil"/>
              <w:left w:val="nil"/>
              <w:bottom w:val="nil"/>
              <w:right w:val="nil"/>
            </w:tcBorders>
            <w:shd w:val="clear" w:color="auto" w:fill="auto"/>
            <w:noWrap/>
            <w:tcMar>
              <w:top w:w="12" w:type="dxa"/>
              <w:left w:w="12" w:type="dxa"/>
              <w:right w:w="12"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年终结余20.73万元是因为财政今年支付系统关帐早，有没来得及支付的应付在职工30%绩效工资6.73万元（按照考核全年一次性发放）、没有支付应付购办公用品款1.5万元、没有付应付单位职工候春晖挂帐各项款7.8万元、没有支付应付购农药款4.7万元（用于试验试范)。</w:t>
            </w:r>
          </w:p>
        </w:tc>
      </w:tr>
      <w:tr>
        <w:tblPrEx>
          <w:tblCellMar>
            <w:top w:w="0" w:type="dxa"/>
            <w:left w:w="0" w:type="dxa"/>
            <w:bottom w:w="0" w:type="dxa"/>
            <w:right w:w="0" w:type="dxa"/>
          </w:tblCellMar>
        </w:tblPrEx>
        <w:trPr>
          <w:trHeight w:val="1155"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“三公经费”控制率</w:t>
            </w: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以100%为标准。三公经费控制率</w:t>
            </w:r>
            <w:r>
              <w:rPr>
                <w:rStyle w:val="16"/>
                <w:lang w:val="en-US" w:eastAsia="zh-CN" w:bidi="ar"/>
              </w:rPr>
              <w:t>≦</w:t>
            </w:r>
            <w:r>
              <w:rPr>
                <w:rStyle w:val="17"/>
                <w:rFonts w:hAnsi="宋体"/>
                <w:lang w:val="en-US" w:eastAsia="zh-CN" w:bidi="ar"/>
              </w:rPr>
              <w:t>100%，计6分；</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w:t>
            </w:r>
          </w:p>
        </w:tc>
        <w:tc>
          <w:tcPr>
            <w:tcW w:w="72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w:t>
            </w:r>
          </w:p>
        </w:tc>
        <w:tc>
          <w:tcPr>
            <w:tcW w:w="162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91" w:hRule="atLeast"/>
        </w:trPr>
        <w:tc>
          <w:tcPr>
            <w:tcW w:w="445" w:type="dxa"/>
            <w:tcBorders>
              <w:top w:val="nil"/>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每超过一个百分点扣1分，扣完为止。</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580"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44"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管理制度</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健全性</w:t>
            </w: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①已制定或具有预算资金管理办法，内部财务管理制度、会计核算制度等管理制度，1分；</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72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162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91"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②相关管理制度合法、合规、完整，1分；</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91"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③相关管理制度得到有效执行，1分。</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580"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资金使用</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合规性</w:t>
            </w: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①支出符合国家财经法规和财务管理制度规定以及有关专项资金管理办法的规定；</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72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162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91"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②资金拨付有完整的审批程序和手续；</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91" w:hRule="atLeast"/>
        </w:trPr>
        <w:tc>
          <w:tcPr>
            <w:tcW w:w="445"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过  程（40分）</w:t>
            </w:r>
          </w:p>
        </w:tc>
        <w:tc>
          <w:tcPr>
            <w:tcW w:w="1002"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预算管理（15分）</w:t>
            </w: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③项目支出按规定经过评估论证；</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91"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④支出符合部门预算批复的用途；</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879"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ind w:firstLine="270" w:firstLineChars="0"/>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⑤资金使用无截留、挤占、挪用、虚列支出等情况。</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879"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以上情况每出现一例不符合要求的扣1分，扣完为止。</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930"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预决算信息公开性和完善性</w:t>
            </w: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①按规定内容公开预决算信息，1分；</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7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16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91"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②按规定时限公开预决算信息，0.5分；</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879"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③基础数据信息和会计信息资料真实，0.5分；</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879"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④基础数据信息和会计信息资料完整，0.5分；</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879" w:hRule="atLeast"/>
        </w:trPr>
        <w:tc>
          <w:tcPr>
            <w:tcW w:w="445" w:type="dxa"/>
            <w:tcBorders>
              <w:top w:val="nil"/>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⑤基础数据信息和汇集信息资料准确，0.5分。</w:t>
            </w:r>
            <w:r>
              <w:rPr>
                <w:rStyle w:val="17"/>
                <w:rFonts w:hAnsi="宋体"/>
                <w:lang w:val="en-US" w:eastAsia="zh-CN" w:bidi="ar"/>
              </w:rPr>
              <w:t xml:space="preserve">                                            </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930"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政府采购</w:t>
            </w: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政府采购执行率等于100%的，得3分；</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7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16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91"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（15分）</w:t>
            </w:r>
          </w:p>
        </w:tc>
        <w:tc>
          <w:tcPr>
            <w:tcW w:w="10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执行率</w:t>
            </w: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每减少一个百分点，扣0.2分，扣完为止。</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930"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公务卡刷卡率</w:t>
            </w: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公务卡刷卡率达50％以上的，得3分。</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7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16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920"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每减少一个百分点，扣0.2分，扣完为止。</w:t>
            </w:r>
            <w:r>
              <w:rPr>
                <w:rStyle w:val="17"/>
                <w:rFonts w:hAnsi="宋体"/>
                <w:lang w:val="en-US" w:eastAsia="zh-CN" w:bidi="ar"/>
              </w:rPr>
              <w:t xml:space="preserve">                                            </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360"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44"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管理制度</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健全性</w:t>
            </w: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①已制定或具有资产管理制度，且相关资产管理制度合法、合规、完整，2分；</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7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16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91"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②相关资产管理制度得到有效执行，1分。</w:t>
            </w:r>
            <w:r>
              <w:rPr>
                <w:rStyle w:val="17"/>
                <w:rFonts w:hAnsi="宋体"/>
                <w:lang w:val="en-US" w:eastAsia="zh-CN" w:bidi="ar"/>
              </w:rPr>
              <w:t xml:space="preserve">                                           </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40" w:hRule="atLeast"/>
        </w:trPr>
        <w:tc>
          <w:tcPr>
            <w:tcW w:w="445"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过  程</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（40分）</w:t>
            </w: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资产管理</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（10分）</w:t>
            </w:r>
          </w:p>
        </w:tc>
        <w:tc>
          <w:tcPr>
            <w:tcW w:w="1044"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安全性</w:t>
            </w: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①资产保存完整；</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w:t>
            </w:r>
          </w:p>
        </w:tc>
        <w:tc>
          <w:tcPr>
            <w:tcW w:w="7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w:t>
            </w:r>
          </w:p>
        </w:tc>
        <w:tc>
          <w:tcPr>
            <w:tcW w:w="16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03" w:hRule="atLeast"/>
        </w:trPr>
        <w:tc>
          <w:tcPr>
            <w:tcW w:w="445"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②资产配置合理；</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03"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③资产处置规范；</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91"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④资产账务管理合规，帐实相符；</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900"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⑤资产有偿使用及处置收入及时足额上缴；</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879"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以上情况每出现一例不符合有关要求的扣1分，扣完为止。</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630"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固定资产</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利用率</w:t>
            </w:r>
          </w:p>
        </w:tc>
        <w:tc>
          <w:tcPr>
            <w:tcW w:w="4776"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每低于100%一个百分点扣0.1分，扣完为止。</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7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16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03" w:hRule="atLeast"/>
        </w:trPr>
        <w:tc>
          <w:tcPr>
            <w:tcW w:w="445" w:type="dxa"/>
            <w:tcBorders>
              <w:top w:val="nil"/>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left"/>
              <w:rPr>
                <w:rFonts w:hint="default" w:ascii="仿宋_GB2312" w:hAnsi="宋体" w:eastAsia="仿宋_GB2312" w:cs="仿宋_GB2312"/>
                <w:i w:val="0"/>
                <w:color w:val="000000"/>
                <w:sz w:val="22"/>
                <w:szCs w:val="22"/>
                <w:u w:val="none"/>
              </w:rPr>
            </w:pP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600" w:hRule="atLeast"/>
        </w:trPr>
        <w:tc>
          <w:tcPr>
            <w:tcW w:w="445"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jc w:val="left"/>
              <w:rPr>
                <w:rFonts w:hint="default" w:ascii="仿宋_GB2312" w:hAnsi="宋体" w:eastAsia="仿宋_GB2312" w:cs="仿宋_GB2312"/>
                <w:i w:val="0"/>
                <w:color w:val="000000"/>
                <w:sz w:val="22"/>
                <w:szCs w:val="22"/>
                <w:u w:val="none"/>
              </w:rPr>
            </w:pPr>
          </w:p>
        </w:tc>
        <w:tc>
          <w:tcPr>
            <w:tcW w:w="10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完成实绩情况</w:t>
            </w: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（1）目标责任制全部完成，得满分；</w:t>
            </w:r>
            <w:r>
              <w:rPr>
                <w:rStyle w:val="17"/>
                <w:rFonts w:hAnsi="宋体"/>
                <w:lang w:val="en-US" w:eastAsia="zh-CN" w:bidi="ar"/>
              </w:rPr>
              <w:t xml:space="preserve">                       （2）每发生一项任务未完成的扣3分，扣完为止。</w:t>
            </w:r>
          </w:p>
        </w:tc>
        <w:tc>
          <w:tcPr>
            <w:tcW w:w="49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w:t>
            </w:r>
          </w:p>
        </w:tc>
        <w:tc>
          <w:tcPr>
            <w:tcW w:w="72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w:t>
            </w:r>
          </w:p>
        </w:tc>
        <w:tc>
          <w:tcPr>
            <w:tcW w:w="162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455" w:hRule="atLeast"/>
        </w:trPr>
        <w:tc>
          <w:tcPr>
            <w:tcW w:w="445"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产出</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（25分）</w:t>
            </w: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履职尽责</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（25分）</w:t>
            </w:r>
          </w:p>
        </w:tc>
        <w:tc>
          <w:tcPr>
            <w:tcW w:w="10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质量达标情况</w:t>
            </w: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（1）目标责任制全部达标，得满分；</w:t>
            </w:r>
            <w:r>
              <w:rPr>
                <w:rStyle w:val="17"/>
                <w:rFonts w:hAnsi="宋体"/>
                <w:lang w:val="en-US" w:eastAsia="zh-CN" w:bidi="ar"/>
              </w:rPr>
              <w:t xml:space="preserve">                       （2）每发生一项任务质量未达标的扣2分，扣完为止。</w:t>
            </w:r>
          </w:p>
        </w:tc>
        <w:tc>
          <w:tcPr>
            <w:tcW w:w="49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w:t>
            </w:r>
          </w:p>
        </w:tc>
        <w:tc>
          <w:tcPr>
            <w:tcW w:w="72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w:t>
            </w:r>
          </w:p>
        </w:tc>
        <w:tc>
          <w:tcPr>
            <w:tcW w:w="162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740" w:hRule="atLeast"/>
        </w:trPr>
        <w:tc>
          <w:tcPr>
            <w:tcW w:w="445" w:type="dxa"/>
            <w:tcBorders>
              <w:top w:val="nil"/>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重点工作完成情况</w:t>
            </w: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（1）重点工作全部完成，得满分；</w:t>
            </w:r>
            <w:r>
              <w:rPr>
                <w:rStyle w:val="17"/>
                <w:rFonts w:hAnsi="宋体"/>
                <w:lang w:val="en-US" w:eastAsia="zh-CN" w:bidi="ar"/>
              </w:rPr>
              <w:t xml:space="preserve">                       （2）每发生一项重点工作未完成的扣2分，扣完为止。</w:t>
            </w:r>
          </w:p>
        </w:tc>
        <w:tc>
          <w:tcPr>
            <w:tcW w:w="49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w:t>
            </w:r>
          </w:p>
        </w:tc>
        <w:tc>
          <w:tcPr>
            <w:tcW w:w="72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w:t>
            </w:r>
          </w:p>
        </w:tc>
        <w:tc>
          <w:tcPr>
            <w:tcW w:w="162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605" w:hRule="atLeast"/>
        </w:trPr>
        <w:tc>
          <w:tcPr>
            <w:tcW w:w="445"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0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经济效益</w:t>
            </w: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此三项指标为设置部门整体支出绩效评价指标时必须考虑的共性要素。</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w:t>
            </w:r>
          </w:p>
        </w:tc>
        <w:tc>
          <w:tcPr>
            <w:tcW w:w="720" w:type="dxa"/>
            <w:vMerge w:val="restart"/>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w:t>
            </w:r>
          </w:p>
        </w:tc>
        <w:tc>
          <w:tcPr>
            <w:tcW w:w="162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1743" w:hRule="atLeast"/>
        </w:trPr>
        <w:tc>
          <w:tcPr>
            <w:tcW w:w="445" w:type="dxa"/>
            <w:tcBorders>
              <w:top w:val="nil"/>
              <w:left w:val="single" w:color="000000" w:sz="8" w:space="0"/>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效  果</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（20分）</w:t>
            </w:r>
          </w:p>
        </w:tc>
        <w:tc>
          <w:tcPr>
            <w:tcW w:w="1002"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履职效益</w:t>
            </w:r>
            <w:r>
              <w:rPr>
                <w:rFonts w:hint="default" w:ascii="仿宋_GB2312" w:hAnsi="宋体" w:eastAsia="仿宋_GB2312" w:cs="仿宋_GB2312"/>
                <w:i w:val="0"/>
                <w:color w:val="000000"/>
                <w:kern w:val="0"/>
                <w:sz w:val="22"/>
                <w:szCs w:val="22"/>
                <w:u w:val="none"/>
                <w:lang w:val="en-US" w:eastAsia="zh-CN" w:bidi="ar"/>
              </w:rPr>
              <w:br w:type="textWrapping"/>
            </w:r>
            <w:r>
              <w:rPr>
                <w:rFonts w:hint="default" w:ascii="仿宋_GB2312" w:hAnsi="宋体" w:eastAsia="仿宋_GB2312" w:cs="仿宋_GB2312"/>
                <w:i w:val="0"/>
                <w:color w:val="000000"/>
                <w:kern w:val="0"/>
                <w:sz w:val="22"/>
                <w:szCs w:val="22"/>
                <w:u w:val="none"/>
                <w:lang w:val="en-US" w:eastAsia="zh-CN" w:bidi="ar"/>
              </w:rPr>
              <w:t>20分）</w:t>
            </w:r>
          </w:p>
        </w:tc>
        <w:tc>
          <w:tcPr>
            <w:tcW w:w="10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社会效益</w:t>
            </w: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部门单位应根据部门实际并结合部门整体支出绩效目标设立情况有选择的进行设置，并将其细化为相应的个性化指标。</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03"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生态效益</w:t>
            </w:r>
          </w:p>
        </w:tc>
        <w:tc>
          <w:tcPr>
            <w:tcW w:w="4776"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tcBorders>
              <w:top w:val="nil"/>
              <w:left w:val="nil"/>
              <w:bottom w:val="single" w:color="000000" w:sz="8" w:space="0"/>
              <w:right w:val="single" w:color="000000" w:sz="8" w:space="0"/>
            </w:tcBorders>
            <w:shd w:val="clear" w:color="auto" w:fill="FFFFFF"/>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480"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社会公众或服务对象满意度</w:t>
            </w: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95%（含）以上计5分；</w:t>
            </w:r>
          </w:p>
        </w:tc>
        <w:tc>
          <w:tcPr>
            <w:tcW w:w="492"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w:t>
            </w:r>
          </w:p>
        </w:tc>
        <w:tc>
          <w:tcPr>
            <w:tcW w:w="72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w:t>
            </w:r>
          </w:p>
        </w:tc>
        <w:tc>
          <w:tcPr>
            <w:tcW w:w="1620" w:type="dxa"/>
            <w:vMerge w:val="restart"/>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91"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85%（含）-95%，计3分；</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591" w:hRule="atLeast"/>
        </w:trPr>
        <w:tc>
          <w:tcPr>
            <w:tcW w:w="445" w:type="dxa"/>
            <w:tcBorders>
              <w:top w:val="nil"/>
              <w:left w:val="single" w:color="000000" w:sz="8" w:space="0"/>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nil"/>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nil"/>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75%（含）-85%，计1分；</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03" w:hRule="atLeast"/>
        </w:trPr>
        <w:tc>
          <w:tcPr>
            <w:tcW w:w="445" w:type="dxa"/>
            <w:tcBorders>
              <w:top w:val="nil"/>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02" w:type="dxa"/>
            <w:tcBorders>
              <w:top w:val="nil"/>
              <w:left w:val="nil"/>
              <w:bottom w:val="single" w:color="000000" w:sz="8" w:space="0"/>
              <w:right w:val="single" w:color="000000" w:sz="8"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2"/>
                <w:szCs w:val="22"/>
                <w:u w:val="none"/>
              </w:rPr>
            </w:pPr>
          </w:p>
        </w:tc>
        <w:tc>
          <w:tcPr>
            <w:tcW w:w="1044"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低于75%计0分。</w:t>
            </w:r>
          </w:p>
        </w:tc>
        <w:tc>
          <w:tcPr>
            <w:tcW w:w="492"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c>
          <w:tcPr>
            <w:tcW w:w="1620" w:type="dxa"/>
            <w:vMerge w:val="continue"/>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i w:val="0"/>
                <w:color w:val="000000"/>
                <w:sz w:val="22"/>
                <w:szCs w:val="22"/>
                <w:u w:val="none"/>
              </w:rPr>
            </w:pPr>
          </w:p>
        </w:tc>
      </w:tr>
      <w:tr>
        <w:tblPrEx>
          <w:tblCellMar>
            <w:top w:w="0" w:type="dxa"/>
            <w:left w:w="0" w:type="dxa"/>
            <w:bottom w:w="0" w:type="dxa"/>
            <w:right w:w="0" w:type="dxa"/>
          </w:tblCellMar>
        </w:tblPrEx>
        <w:trPr>
          <w:trHeight w:val="303" w:hRule="atLeast"/>
        </w:trPr>
        <w:tc>
          <w:tcPr>
            <w:tcW w:w="445" w:type="dxa"/>
            <w:tcBorders>
              <w:top w:val="nil"/>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总 分</w:t>
            </w:r>
          </w:p>
        </w:tc>
        <w:tc>
          <w:tcPr>
            <w:tcW w:w="100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000000"/>
                <w:sz w:val="22"/>
                <w:szCs w:val="22"/>
                <w:u w:val="none"/>
              </w:rPr>
            </w:pPr>
          </w:p>
        </w:tc>
        <w:tc>
          <w:tcPr>
            <w:tcW w:w="1044"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000000"/>
                <w:sz w:val="22"/>
                <w:szCs w:val="22"/>
                <w:u w:val="none"/>
              </w:rPr>
            </w:pPr>
          </w:p>
        </w:tc>
        <w:tc>
          <w:tcPr>
            <w:tcW w:w="4776"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000000"/>
                <w:sz w:val="22"/>
                <w:szCs w:val="22"/>
                <w:u w:val="none"/>
              </w:rPr>
            </w:pPr>
          </w:p>
        </w:tc>
        <w:tc>
          <w:tcPr>
            <w:tcW w:w="492"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100</w:t>
            </w:r>
          </w:p>
        </w:tc>
        <w:tc>
          <w:tcPr>
            <w:tcW w:w="72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2"/>
                <w:szCs w:val="22"/>
                <w:u w:val="none"/>
              </w:rPr>
            </w:pPr>
            <w:r>
              <w:rPr>
                <w:rFonts w:hint="default" w:ascii="仿宋_GB2312" w:hAnsi="宋体" w:eastAsia="仿宋_GB2312" w:cs="仿宋_GB2312"/>
                <w:b/>
                <w:i w:val="0"/>
                <w:color w:val="000000"/>
                <w:kern w:val="0"/>
                <w:sz w:val="22"/>
                <w:szCs w:val="22"/>
                <w:u w:val="none"/>
                <w:lang w:val="en-US" w:eastAsia="zh-CN" w:bidi="ar"/>
              </w:rPr>
              <w:t>98</w:t>
            </w:r>
          </w:p>
        </w:tc>
        <w:tc>
          <w:tcPr>
            <w:tcW w:w="1620" w:type="dxa"/>
            <w:tcBorders>
              <w:top w:val="nil"/>
              <w:left w:val="nil"/>
              <w:bottom w:val="single" w:color="000000" w:sz="8" w:space="0"/>
              <w:right w:val="single" w:color="000000" w:sz="8" w:space="0"/>
            </w:tcBorders>
            <w:shd w:val="clear" w:color="auto" w:fill="auto"/>
            <w:tcMar>
              <w:top w:w="12" w:type="dxa"/>
              <w:left w:w="12" w:type="dxa"/>
              <w:right w:w="12" w:type="dxa"/>
            </w:tcMar>
            <w:vAlign w:val="center"/>
          </w:tcPr>
          <w:p>
            <w:pPr>
              <w:jc w:val="center"/>
              <w:rPr>
                <w:rFonts w:hint="default" w:ascii="仿宋_GB2312" w:hAnsi="宋体" w:eastAsia="仿宋_GB2312" w:cs="仿宋_GB2312"/>
                <w:b/>
                <w:i w:val="0"/>
                <w:color w:val="000000"/>
                <w:sz w:val="22"/>
                <w:szCs w:val="22"/>
                <w:u w:val="none"/>
              </w:rPr>
            </w:pPr>
          </w:p>
        </w:tc>
      </w:tr>
      <w:tr>
        <w:tblPrEx>
          <w:tblCellMar>
            <w:top w:w="0" w:type="dxa"/>
            <w:left w:w="0" w:type="dxa"/>
            <w:bottom w:w="0" w:type="dxa"/>
            <w:right w:w="0" w:type="dxa"/>
          </w:tblCellMar>
        </w:tblPrEx>
        <w:trPr>
          <w:trHeight w:val="1080" w:hRule="atLeast"/>
        </w:trPr>
        <w:tc>
          <w:tcPr>
            <w:tcW w:w="10099" w:type="dxa"/>
            <w:gridSpan w:val="7"/>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备注：如部门（单位）根据本部门实际情况修改调整了附件5《部门整体支出绩效评价指标体系（参考样表）》，须相应修改调整本表中的对应部分。</w:t>
            </w:r>
          </w:p>
        </w:tc>
      </w:tr>
    </w:tbl>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长城仿宋">
    <w:altName w:val="仿宋"/>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334825"/>
    <w:multiLevelType w:val="singleLevel"/>
    <w:tmpl w:val="AA334825"/>
    <w:lvl w:ilvl="0" w:tentative="0">
      <w:start w:val="1"/>
      <w:numFmt w:val="decimal"/>
      <w:suff w:val="nothing"/>
      <w:lvlText w:val="%1、"/>
      <w:lvlJc w:val="left"/>
    </w:lvl>
  </w:abstractNum>
  <w:abstractNum w:abstractNumId="1">
    <w:nsid w:val="DAA7F869"/>
    <w:multiLevelType w:val="singleLevel"/>
    <w:tmpl w:val="DAA7F869"/>
    <w:lvl w:ilvl="0" w:tentative="0">
      <w:start w:val="5"/>
      <w:numFmt w:val="decimal"/>
      <w:suff w:val="nothing"/>
      <w:lvlText w:val="%1、"/>
      <w:lvlJc w:val="left"/>
    </w:lvl>
  </w:abstractNum>
  <w:abstractNum w:abstractNumId="2">
    <w:nsid w:val="2C434B30"/>
    <w:multiLevelType w:val="singleLevel"/>
    <w:tmpl w:val="2C434B30"/>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AE31FF"/>
    <w:rsid w:val="032465EA"/>
    <w:rsid w:val="039107C6"/>
    <w:rsid w:val="0E330078"/>
    <w:rsid w:val="0E720243"/>
    <w:rsid w:val="0F3630EF"/>
    <w:rsid w:val="0F60726E"/>
    <w:rsid w:val="0FD229C8"/>
    <w:rsid w:val="10A751CE"/>
    <w:rsid w:val="10CD29F3"/>
    <w:rsid w:val="10E105AD"/>
    <w:rsid w:val="115E12AD"/>
    <w:rsid w:val="16B36763"/>
    <w:rsid w:val="1A583C52"/>
    <w:rsid w:val="1A820319"/>
    <w:rsid w:val="1AE57A8B"/>
    <w:rsid w:val="22D00946"/>
    <w:rsid w:val="22F52439"/>
    <w:rsid w:val="25001794"/>
    <w:rsid w:val="28551460"/>
    <w:rsid w:val="2CED13D0"/>
    <w:rsid w:val="2D355251"/>
    <w:rsid w:val="2D653E2F"/>
    <w:rsid w:val="2EE723A7"/>
    <w:rsid w:val="2F2A0AB9"/>
    <w:rsid w:val="30C92FF6"/>
    <w:rsid w:val="314A535D"/>
    <w:rsid w:val="352713D7"/>
    <w:rsid w:val="37FDF911"/>
    <w:rsid w:val="38196E39"/>
    <w:rsid w:val="39FB034E"/>
    <w:rsid w:val="3DD13265"/>
    <w:rsid w:val="3E536605"/>
    <w:rsid w:val="40437D7B"/>
    <w:rsid w:val="40BB6C05"/>
    <w:rsid w:val="41301B5A"/>
    <w:rsid w:val="43844DAF"/>
    <w:rsid w:val="44134842"/>
    <w:rsid w:val="48684D46"/>
    <w:rsid w:val="4AC103A9"/>
    <w:rsid w:val="4BB31299"/>
    <w:rsid w:val="52215C89"/>
    <w:rsid w:val="56DE4ED2"/>
    <w:rsid w:val="5B4027E8"/>
    <w:rsid w:val="5BF60EC4"/>
    <w:rsid w:val="5C9818A7"/>
    <w:rsid w:val="5DCB3372"/>
    <w:rsid w:val="5EC81B99"/>
    <w:rsid w:val="5F847847"/>
    <w:rsid w:val="60850059"/>
    <w:rsid w:val="65E54B19"/>
    <w:rsid w:val="67D369B4"/>
    <w:rsid w:val="6AC85649"/>
    <w:rsid w:val="6CB243D9"/>
    <w:rsid w:val="70640646"/>
    <w:rsid w:val="71196826"/>
    <w:rsid w:val="7370549D"/>
    <w:rsid w:val="74AC7981"/>
    <w:rsid w:val="75A4496D"/>
    <w:rsid w:val="75EC3824"/>
    <w:rsid w:val="7673E36B"/>
    <w:rsid w:val="783003E9"/>
    <w:rsid w:val="7B1E3A07"/>
    <w:rsid w:val="7D3C63D3"/>
    <w:rsid w:val="7E11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100" w:beforeAutospacing="1" w:after="120"/>
    </w:pPr>
  </w:style>
  <w:style w:type="paragraph" w:styleId="3">
    <w:name w:val="Body Text First Indent"/>
    <w:basedOn w:val="2"/>
    <w:qFormat/>
    <w:uiPriority w:val="0"/>
    <w:pPr>
      <w:widowControl w:val="0"/>
      <w:adjustRightInd/>
      <w:snapToGrid/>
      <w:ind w:firstLine="420" w:firstLineChars="100"/>
      <w:jc w:val="both"/>
    </w:pPr>
    <w:rPr>
      <w:rFonts w:ascii="Calibri" w:hAnsi="Calibri" w:cs="Times New Roman"/>
      <w:kern w:val="2"/>
      <w:sz w:val="21"/>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9"/>
    <w:link w:val="4"/>
    <w:semiHidden/>
    <w:qFormat/>
    <w:uiPriority w:val="99"/>
    <w:rPr>
      <w:sz w:val="18"/>
      <w:szCs w:val="18"/>
    </w:rPr>
  </w:style>
  <w:style w:type="paragraph" w:customStyle="1" w:styleId="15">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character" w:customStyle="1" w:styleId="16">
    <w:name w:val="font61"/>
    <w:basedOn w:val="9"/>
    <w:qFormat/>
    <w:uiPriority w:val="0"/>
    <w:rPr>
      <w:rFonts w:hint="eastAsia" w:ascii="宋体" w:hAnsi="宋体" w:eastAsia="宋体" w:cs="宋体"/>
      <w:color w:val="000000"/>
      <w:sz w:val="22"/>
      <w:szCs w:val="22"/>
      <w:u w:val="none"/>
    </w:rPr>
  </w:style>
  <w:style w:type="character" w:customStyle="1" w:styleId="17">
    <w:name w:val="font21"/>
    <w:basedOn w:val="9"/>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noFill/>
        <a:noFill/>
        <a:no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23</TotalTime>
  <ScaleCrop>false</ScaleCrop>
  <LinksUpToDate>false</LinksUpToDate>
  <CharactersWithSpaces>8753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2020-07-02T18:32:00Z</dcterms:created>
  <dc:creator>李航 null</dc:creator>
  <cp:lastModifiedBy>kylin</cp:lastModifiedBy>
  <cp:lastPrinted>2021-09-04T00:28:00Z</cp:lastPrinted>
  <dcterms:modified xsi:type="dcterms:W3CDTF">2021-09-13T09:25:57Z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BDE8044252784D0A93C357E342DC4CDF</vt:lpwstr>
  </property>
</Properties>
</file>