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rFonts w:hint="eastAsia"/>
          <w:sz w:val="84"/>
          <w:szCs w:val="84"/>
        </w:rPr>
      </w:pPr>
    </w:p>
    <w:p>
      <w:pPr>
        <w:pStyle w:val="11"/>
        <w:jc w:val="center"/>
        <w:rPr>
          <w:sz w:val="84"/>
          <w:szCs w:val="84"/>
        </w:rPr>
      </w:pPr>
      <w:r>
        <w:rPr>
          <w:rFonts w:hint="eastAsia"/>
          <w:sz w:val="84"/>
          <w:szCs w:val="84"/>
        </w:rPr>
        <w:t>2020年度</w:t>
      </w:r>
    </w:p>
    <w:p>
      <w:pPr>
        <w:pStyle w:val="11"/>
        <w:jc w:val="center"/>
        <w:rPr>
          <w:rFonts w:hint="eastAsia"/>
          <w:sz w:val="84"/>
          <w:szCs w:val="84"/>
          <w:lang w:eastAsia="zh-CN"/>
        </w:rPr>
      </w:pPr>
      <w:r>
        <w:rPr>
          <w:rFonts w:hint="eastAsia"/>
          <w:sz w:val="84"/>
          <w:szCs w:val="84"/>
          <w:lang w:eastAsia="zh-CN"/>
        </w:rPr>
        <w:t>永州市公安局金洞分局</w:t>
      </w:r>
    </w:p>
    <w:p>
      <w:pPr>
        <w:pStyle w:val="11"/>
        <w:jc w:val="center"/>
        <w:rPr>
          <w:sz w:val="84"/>
          <w:szCs w:val="84"/>
        </w:rPr>
      </w:pPr>
      <w:r>
        <w:rPr>
          <w:rFonts w:hint="eastAsia"/>
          <w:sz w:val="84"/>
          <w:szCs w:val="84"/>
        </w:rPr>
        <w:t>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00" w:lineRule="exact"/>
        <w:jc w:val="both"/>
        <w:rPr>
          <w:rFonts w:hint="eastAsia"/>
          <w:b/>
          <w:sz w:val="36"/>
          <w:szCs w:val="28"/>
        </w:rPr>
      </w:pPr>
    </w:p>
    <w:p>
      <w:pPr>
        <w:pStyle w:val="11"/>
        <w:spacing w:line="500" w:lineRule="exact"/>
        <w:jc w:val="center"/>
        <w:rPr>
          <w:b/>
          <w:sz w:val="36"/>
          <w:szCs w:val="28"/>
        </w:rPr>
      </w:pPr>
      <w:r>
        <w:rPr>
          <w:rFonts w:hint="eastAsia"/>
          <w:b/>
          <w:sz w:val="36"/>
          <w:szCs w:val="28"/>
        </w:rPr>
        <w:t>目录</w:t>
      </w:r>
    </w:p>
    <w:p>
      <w:pPr>
        <w:pStyle w:val="11"/>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w:t>
      </w:r>
      <w:r>
        <w:rPr>
          <w:rFonts w:hint="eastAsia"/>
          <w:b/>
          <w:sz w:val="28"/>
          <w:szCs w:val="28"/>
          <w:lang w:eastAsia="zh-CN"/>
        </w:rPr>
        <w:t>永州市公安局金洞分局单位</w:t>
      </w:r>
      <w:r>
        <w:rPr>
          <w:rFonts w:hint="eastAsia"/>
          <w:b/>
          <w:sz w:val="28"/>
          <w:szCs w:val="28"/>
        </w:rPr>
        <w:t>概况</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1"/>
        <w:spacing w:line="500" w:lineRule="exact"/>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20年度部门决算表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1"/>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1"/>
        <w:spacing w:line="500" w:lineRule="exact"/>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20年度部门决算情况说明</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关于机关运行经费支出说明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十一、关于政府采购支出说明</w:t>
      </w:r>
    </w:p>
    <w:p>
      <w:pPr>
        <w:pStyle w:val="11"/>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十二、关于国有资产占用情况说明</w:t>
      </w:r>
    </w:p>
    <w:p>
      <w:pPr>
        <w:pStyle w:val="11"/>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十三、关</w:t>
      </w:r>
      <w:r>
        <w:rPr>
          <w:rFonts w:hint="eastAsia" w:cs="仿宋_GB2312" w:asciiTheme="minorEastAsia" w:hAnsiTheme="minorEastAsia" w:eastAsiaTheme="minorEastAsia"/>
          <w:sz w:val="28"/>
          <w:szCs w:val="28"/>
        </w:rPr>
        <w:t>于2020年</w:t>
      </w:r>
      <w:r>
        <w:rPr>
          <w:rFonts w:hint="eastAsia" w:ascii="仿宋_GB2312" w:hAnsi="仿宋_GB2312" w:cs="仿宋_GB2312" w:eastAsiaTheme="minorEastAsia"/>
          <w:sz w:val="28"/>
          <w:szCs w:val="28"/>
        </w:rPr>
        <w:t>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autoSpaceDE w:val="0"/>
        <w:autoSpaceDN w:val="0"/>
        <w:adjustRightInd w:val="0"/>
        <w:spacing w:line="500" w:lineRule="exact"/>
        <w:jc w:val="left"/>
        <w:rPr>
          <w:rFonts w:hint="eastAsia"/>
          <w:sz w:val="84"/>
          <w:szCs w:val="84"/>
        </w:rPr>
      </w:pPr>
      <w:r>
        <w:rPr>
          <w:rFonts w:ascii="黑体" w:hAnsi="黑体" w:eastAsia="黑体" w:cs="黑体"/>
          <w:b/>
          <w:color w:val="auto"/>
          <w:kern w:val="0"/>
          <w:sz w:val="28"/>
          <w:szCs w:val="28"/>
        </w:rPr>
        <w:t>第五部分</w:t>
      </w:r>
      <w:r>
        <w:rPr>
          <w:rFonts w:hint="eastAsia" w:ascii="黑体" w:hAnsi="黑体" w:eastAsia="黑体" w:cs="黑体"/>
          <w:b/>
          <w:color w:val="auto"/>
          <w:kern w:val="0"/>
          <w:sz w:val="28"/>
          <w:szCs w:val="28"/>
          <w:lang w:val="en-US" w:eastAsia="zh-CN"/>
        </w:rPr>
        <w:t xml:space="preserve">  附件</w:t>
      </w:r>
    </w:p>
    <w:p>
      <w:pPr>
        <w:pStyle w:val="11"/>
        <w:jc w:val="center"/>
        <w:rPr>
          <w:rFonts w:hint="eastAsia"/>
          <w:sz w:val="84"/>
          <w:szCs w:val="84"/>
        </w:rPr>
      </w:pPr>
    </w:p>
    <w:p>
      <w:pPr>
        <w:pStyle w:val="11"/>
        <w:jc w:val="center"/>
        <w:rPr>
          <w:rFonts w:hint="eastAsia"/>
          <w:sz w:val="84"/>
          <w:szCs w:val="84"/>
        </w:rPr>
      </w:pPr>
    </w:p>
    <w:p>
      <w:pPr>
        <w:pStyle w:val="11"/>
        <w:jc w:val="both"/>
        <w:rPr>
          <w:rFonts w:hint="eastAsia"/>
          <w:sz w:val="84"/>
          <w:szCs w:val="84"/>
        </w:rPr>
      </w:pPr>
    </w:p>
    <w:p>
      <w:pPr>
        <w:pStyle w:val="11"/>
        <w:jc w:val="center"/>
        <w:rPr>
          <w:rFonts w:hint="eastAsia"/>
          <w:sz w:val="84"/>
          <w:szCs w:val="84"/>
        </w:rPr>
      </w:pPr>
    </w:p>
    <w:p>
      <w:pPr>
        <w:pStyle w:val="11"/>
        <w:jc w:val="center"/>
        <w:rPr>
          <w:sz w:val="84"/>
          <w:szCs w:val="84"/>
        </w:rPr>
      </w:pPr>
      <w:r>
        <w:rPr>
          <w:rFonts w:hint="eastAsia"/>
          <w:sz w:val="84"/>
          <w:szCs w:val="84"/>
        </w:rPr>
        <w:t>第一部分</w:t>
      </w:r>
    </w:p>
    <w:p>
      <w:pPr>
        <w:pStyle w:val="11"/>
        <w:jc w:val="center"/>
        <w:rPr>
          <w:sz w:val="84"/>
          <w:szCs w:val="84"/>
        </w:rPr>
      </w:pPr>
    </w:p>
    <w:p>
      <w:pPr>
        <w:pStyle w:val="11"/>
        <w:jc w:val="center"/>
        <w:rPr>
          <w:rFonts w:hint="eastAsia"/>
          <w:sz w:val="84"/>
          <w:szCs w:val="84"/>
          <w:lang w:eastAsia="zh-CN"/>
        </w:rPr>
      </w:pPr>
      <w:r>
        <w:rPr>
          <w:rFonts w:hint="eastAsia"/>
          <w:sz w:val="84"/>
          <w:szCs w:val="84"/>
          <w:lang w:eastAsia="zh-CN"/>
        </w:rPr>
        <w:t>永州市公安局金洞分局</w:t>
      </w:r>
    </w:p>
    <w:p>
      <w:pPr>
        <w:pStyle w:val="11"/>
        <w:jc w:val="center"/>
        <w:rPr>
          <w:sz w:val="84"/>
          <w:szCs w:val="84"/>
        </w:rPr>
      </w:pPr>
      <w:r>
        <w:rPr>
          <w:rFonts w:hint="eastAsia"/>
          <w:sz w:val="84"/>
          <w:szCs w:val="84"/>
          <w:lang w:eastAsia="zh-CN"/>
        </w:rPr>
        <w:t>单位</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2"/>
        <w:ind w:left="0" w:leftChars="0" w:firstLine="0" w:firstLineChars="0"/>
        <w:jc w:val="left"/>
        <w:rPr>
          <w:rFonts w:ascii="黑体" w:hAnsi="黑体" w:eastAsia="黑体"/>
          <w:sz w:val="32"/>
          <w:szCs w:val="32"/>
        </w:rPr>
      </w:pPr>
    </w:p>
    <w:p>
      <w:pPr>
        <w:pStyle w:val="12"/>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pStyle w:val="11"/>
        <w:ind w:firstLine="640" w:firstLineChars="200"/>
        <w:rPr>
          <w:rFonts w:ascii="黑体" w:hAnsi="黑体" w:eastAsia="黑体"/>
          <w:sz w:val="32"/>
          <w:szCs w:val="32"/>
        </w:rPr>
      </w:pPr>
      <w:r>
        <w:rPr>
          <w:rFonts w:hint="eastAsia" w:asciiTheme="minorEastAsia" w:hAnsiTheme="minorEastAsia" w:eastAsiaTheme="minorEastAsia"/>
          <w:sz w:val="32"/>
          <w:szCs w:val="32"/>
          <w:lang w:val="en-US" w:eastAsia="zh-CN"/>
        </w:rPr>
        <w:t>依据《中华人民共和国宪法》、《人民警察法》、《刑法》、《治安管理处罚法》等法律法规，维护国家安全，维护社会治安，保护公民的人身安全、人身自由和合法财产，保护公共财产，预防、制止、惩罚违法犯罪，管理社会秩序，掌握、分析、研究敌情和社会治安状况，维护社会稳定，保障人民群众的安居乐业和社会主义现代化建设事业的顺利进行。</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numPr>
          <w:ilvl w:val="0"/>
          <w:numId w:val="0"/>
        </w:numPr>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eastAsia="zh-CN"/>
        </w:rPr>
        <w:t>永</w:t>
      </w:r>
      <w:r>
        <w:rPr>
          <w:rFonts w:hint="eastAsia" w:cs="黑体" w:asciiTheme="minorEastAsia" w:hAnsiTheme="minorEastAsia" w:eastAsiaTheme="minorEastAsia"/>
          <w:color w:val="000000"/>
          <w:kern w:val="0"/>
          <w:sz w:val="32"/>
          <w:szCs w:val="32"/>
          <w:lang w:val="en-US" w:eastAsia="zh-CN" w:bidi="ar-SA"/>
        </w:rPr>
        <w:t>州市公安局金洞分局内设机构</w:t>
      </w:r>
      <w:r>
        <w:rPr>
          <w:rFonts w:hint="eastAsia" w:cs="黑体" w:asciiTheme="minorEastAsia" w:hAnsiTheme="minorEastAsia"/>
          <w:color w:val="000000"/>
          <w:kern w:val="0"/>
          <w:sz w:val="32"/>
          <w:szCs w:val="32"/>
          <w:lang w:val="en-US" w:eastAsia="zh-CN" w:bidi="ar-SA"/>
        </w:rPr>
        <w:t>七</w:t>
      </w:r>
      <w:r>
        <w:rPr>
          <w:rFonts w:hint="eastAsia" w:cs="黑体" w:asciiTheme="minorEastAsia" w:hAnsiTheme="minorEastAsia" w:eastAsiaTheme="minorEastAsia"/>
          <w:color w:val="000000"/>
          <w:kern w:val="0"/>
          <w:sz w:val="32"/>
          <w:szCs w:val="32"/>
          <w:lang w:val="en-US" w:eastAsia="zh-CN" w:bidi="ar-SA"/>
        </w:rPr>
        <w:t>个包括：指挥中心，刑侦大队，治安大队，森保大队，人口大队，法制网监室，政工纪检室；派出所五个包括：金洞派出所，小金洞派出所，晒北滩派出所，石鼓源派出所，凤凰派出所。2020年12月工资发放人员56人，退休人员10人，合计66人，另有临聘人员66人（其中协警19人、农村辅警43人）。车辆编制10台，实有车辆10台。</w:t>
      </w:r>
    </w:p>
    <w:p>
      <w:pPr>
        <w:widowControl/>
        <w:spacing w:line="600" w:lineRule="exact"/>
        <w:ind w:firstLine="640" w:firstLineChars="200"/>
        <w:rPr>
          <w:rFonts w:hint="eastAsia" w:asciiTheme="minorEastAsia" w:hAnsiTheme="minorEastAsia" w:eastAsiaTheme="minorEastAsia"/>
          <w:bCs/>
          <w:kern w:val="0"/>
          <w:sz w:val="32"/>
          <w:szCs w:val="32"/>
          <w:lang w:eastAsia="zh-CN"/>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eastAsia="zh-CN"/>
        </w:rPr>
        <w:t>永州市公安局金洞分局</w:t>
      </w:r>
      <w:r>
        <w:rPr>
          <w:rFonts w:asciiTheme="minorEastAsia" w:hAnsiTheme="minorEastAsia"/>
          <w:bCs/>
          <w:kern w:val="0"/>
          <w:sz w:val="32"/>
          <w:szCs w:val="32"/>
        </w:rPr>
        <w:t>20</w:t>
      </w:r>
      <w:r>
        <w:rPr>
          <w:rFonts w:hint="eastAsia" w:asciiTheme="minorEastAsia" w:hAnsiTheme="minorEastAsia"/>
          <w:bCs/>
          <w:kern w:val="0"/>
          <w:sz w:val="32"/>
          <w:szCs w:val="32"/>
          <w:lang w:val="en-US" w:eastAsia="zh-CN"/>
        </w:rPr>
        <w:t>20</w:t>
      </w:r>
      <w:r>
        <w:rPr>
          <w:rFonts w:hint="eastAsia" w:asciiTheme="minorEastAsia" w:hAnsiTheme="minorEastAsia"/>
          <w:bCs/>
          <w:kern w:val="0"/>
          <w:sz w:val="32"/>
          <w:szCs w:val="32"/>
        </w:rPr>
        <w:t>年部门决算汇总公开单位构成包括：</w:t>
      </w:r>
      <w:r>
        <w:rPr>
          <w:rFonts w:hint="eastAsia" w:asciiTheme="minorEastAsia" w:hAnsiTheme="minorEastAsia"/>
          <w:bCs/>
          <w:kern w:val="0"/>
          <w:sz w:val="32"/>
          <w:szCs w:val="32"/>
          <w:lang w:eastAsia="zh-CN"/>
        </w:rPr>
        <w:t>永州市公安局金洞分局</w:t>
      </w:r>
      <w:r>
        <w:rPr>
          <w:rFonts w:hint="eastAsia" w:asciiTheme="minorEastAsia" w:hAnsiTheme="minorEastAsia"/>
          <w:bCs/>
          <w:kern w:val="0"/>
          <w:sz w:val="32"/>
          <w:szCs w:val="32"/>
        </w:rPr>
        <w:t>本级</w:t>
      </w:r>
      <w:r>
        <w:rPr>
          <w:rFonts w:hint="eastAsia" w:asciiTheme="minorEastAsia" w:hAnsiTheme="minorEastAsia"/>
          <w:bCs/>
          <w:kern w:val="0"/>
          <w:sz w:val="32"/>
          <w:szCs w:val="32"/>
          <w:lang w:eastAsia="zh-CN"/>
        </w:rPr>
        <w:t>。</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ind w:firstLine="3600" w:firstLineChars="500"/>
        <w:jc w:val="both"/>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jc w:val="both"/>
        <w:rPr>
          <w:rFonts w:ascii="黑体" w:hAnsi="黑体" w:eastAsia="黑体"/>
          <w:sz w:val="28"/>
          <w:szCs w:val="28"/>
        </w:rPr>
        <w:sectPr>
          <w:pgSz w:w="16838" w:h="11906" w:orient="landscape"/>
          <w:pgMar w:top="720" w:right="720" w:bottom="720" w:left="720" w:header="851" w:footer="992" w:gutter="0"/>
          <w:cols w:space="425" w:num="1"/>
          <w:docGrid w:type="linesAndChars" w:linePitch="312" w:charSpace="0"/>
        </w:sectPr>
      </w:pPr>
      <w:r>
        <w:drawing>
          <wp:inline distT="0" distB="0" distL="114300" distR="114300">
            <wp:extent cx="8467725" cy="6640195"/>
            <wp:effectExtent l="0" t="0" r="9525"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5"/>
                    <a:stretch>
                      <a:fillRect/>
                    </a:stretch>
                  </pic:blipFill>
                  <pic:spPr>
                    <a:xfrm>
                      <a:off x="0" y="0"/>
                      <a:ext cx="8467725" cy="6640195"/>
                    </a:xfrm>
                    <a:prstGeom prst="rect">
                      <a:avLst/>
                    </a:prstGeom>
                    <a:noFill/>
                    <a:ln>
                      <a:noFill/>
                    </a:ln>
                  </pic:spPr>
                </pic:pic>
              </a:graphicData>
            </a:graphic>
          </wp:inline>
        </w:drawing>
      </w:r>
    </w:p>
    <w:p>
      <w:pPr>
        <w:widowControl/>
        <w:rPr>
          <w:rFonts w:hint="eastAsia"/>
          <w:lang w:val="en-US" w:eastAsia="zh-CN"/>
        </w:rPr>
      </w:pPr>
      <w:r>
        <w:rPr>
          <w:rFonts w:hint="eastAsia"/>
          <w:lang w:val="en-US" w:eastAsia="zh-CN"/>
        </w:rPr>
        <w:t>.</w:t>
      </w:r>
    </w:p>
    <w:p>
      <w:pPr>
        <w:widowControl/>
        <w:rPr>
          <w:rFonts w:hint="eastAsia"/>
          <w:lang w:val="en-US" w:eastAsia="zh-CN"/>
        </w:rPr>
      </w:pPr>
      <w:r>
        <w:drawing>
          <wp:inline distT="0" distB="0" distL="114300" distR="114300">
            <wp:extent cx="9767570" cy="4717415"/>
            <wp:effectExtent l="0" t="0" r="5080" b="698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6"/>
                    <a:stretch>
                      <a:fillRect/>
                    </a:stretch>
                  </pic:blipFill>
                  <pic:spPr>
                    <a:xfrm>
                      <a:off x="0" y="0"/>
                      <a:ext cx="9767570" cy="4717415"/>
                    </a:xfrm>
                    <a:prstGeom prst="rect">
                      <a:avLst/>
                    </a:prstGeom>
                    <a:noFill/>
                    <a:ln>
                      <a:noFill/>
                    </a:ln>
                  </pic:spPr>
                </pic:pic>
              </a:graphicData>
            </a:graphic>
          </wp:inline>
        </w:drawing>
      </w: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r>
        <w:drawing>
          <wp:inline distT="0" distB="0" distL="114300" distR="114300">
            <wp:extent cx="9773285" cy="5218430"/>
            <wp:effectExtent l="0" t="0" r="18415" b="127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7"/>
                    <a:stretch>
                      <a:fillRect/>
                    </a:stretch>
                  </pic:blipFill>
                  <pic:spPr>
                    <a:xfrm>
                      <a:off x="0" y="0"/>
                      <a:ext cx="9773285" cy="5218430"/>
                    </a:xfrm>
                    <a:prstGeom prst="rect">
                      <a:avLst/>
                    </a:prstGeom>
                    <a:noFill/>
                    <a:ln>
                      <a:noFill/>
                    </a:ln>
                  </pic:spPr>
                </pic:pic>
              </a:graphicData>
            </a:graphic>
          </wp:inline>
        </w:drawing>
      </w: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r>
        <w:drawing>
          <wp:inline distT="0" distB="0" distL="114300" distR="114300">
            <wp:extent cx="9768840" cy="6801485"/>
            <wp:effectExtent l="0" t="0" r="3810" b="1841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8"/>
                    <a:stretch>
                      <a:fillRect/>
                    </a:stretch>
                  </pic:blipFill>
                  <pic:spPr>
                    <a:xfrm>
                      <a:off x="0" y="0"/>
                      <a:ext cx="9768840" cy="6801485"/>
                    </a:xfrm>
                    <a:prstGeom prst="rect">
                      <a:avLst/>
                    </a:prstGeom>
                    <a:noFill/>
                    <a:ln>
                      <a:noFill/>
                    </a:ln>
                  </pic:spPr>
                </pic:pic>
              </a:graphicData>
            </a:graphic>
          </wp:inline>
        </w:drawing>
      </w:r>
    </w:p>
    <w:p>
      <w:pPr>
        <w:widowControl/>
        <w:rPr>
          <w:rFonts w:ascii="Times New Roman" w:hAnsi="Times New Roman" w:eastAsia="方正小标宋_GBK" w:cs="Times New Roman"/>
          <w:color w:val="000000"/>
          <w:kern w:val="0"/>
          <w:sz w:val="36"/>
          <w:szCs w:val="36"/>
        </w:rPr>
      </w:pPr>
      <w:r>
        <w:drawing>
          <wp:inline distT="0" distB="0" distL="114300" distR="114300">
            <wp:extent cx="9696450" cy="53911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9"/>
                    <a:stretch>
                      <a:fillRect/>
                    </a:stretch>
                  </pic:blipFill>
                  <pic:spPr>
                    <a:xfrm>
                      <a:off x="0" y="0"/>
                      <a:ext cx="9696450" cy="5391150"/>
                    </a:xfrm>
                    <a:prstGeom prst="rect">
                      <a:avLst/>
                    </a:prstGeom>
                    <a:noFill/>
                    <a:ln>
                      <a:noFill/>
                    </a:ln>
                  </pic:spPr>
                </pic:pic>
              </a:graphicData>
            </a:graphic>
          </wp:inline>
        </w:drawing>
      </w: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jc w:val="both"/>
        <w:rPr>
          <w:rFonts w:ascii="Times New Roman" w:hAnsi="Times New Roman" w:eastAsia="方正小标宋_GBK" w:cs="Times New Roman"/>
          <w:color w:val="000000"/>
          <w:kern w:val="0"/>
          <w:sz w:val="36"/>
          <w:szCs w:val="21"/>
        </w:rPr>
      </w:pPr>
      <w:r>
        <w:drawing>
          <wp:inline distT="0" distB="0" distL="114300" distR="114300">
            <wp:extent cx="9771380" cy="5688330"/>
            <wp:effectExtent l="0" t="0" r="1270" b="762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0"/>
                    <a:stretch>
                      <a:fillRect/>
                    </a:stretch>
                  </pic:blipFill>
                  <pic:spPr>
                    <a:xfrm>
                      <a:off x="0" y="0"/>
                      <a:ext cx="9771380" cy="5688330"/>
                    </a:xfrm>
                    <a:prstGeom prst="rect">
                      <a:avLst/>
                    </a:prstGeom>
                    <a:noFill/>
                    <a:ln>
                      <a:noFill/>
                    </a:ln>
                  </pic:spPr>
                </pic:pic>
              </a:graphicData>
            </a:graphic>
          </wp:inline>
        </w:drawing>
      </w:r>
    </w:p>
    <w:p>
      <w:pPr>
        <w:widowControl/>
        <w:ind w:left="93"/>
        <w:jc w:val="center"/>
        <w:rPr>
          <w:rFonts w:ascii="Times New Roman" w:hAnsi="Times New Roman" w:eastAsia="方正小标宋_GBK" w:cs="Times New Roman"/>
          <w:color w:val="000000"/>
          <w:kern w:val="0"/>
          <w:sz w:val="36"/>
          <w:szCs w:val="21"/>
        </w:rPr>
      </w:pPr>
    </w:p>
    <w:p>
      <w:pPr>
        <w:widowControl/>
        <w:jc w:val="center"/>
        <w:rPr>
          <w:rFonts w:ascii="Times New Roman" w:hAnsi="Times New Roman" w:eastAsia="方正小标宋_GBK" w:cs="Times New Roman"/>
          <w:kern w:val="0"/>
          <w:sz w:val="36"/>
          <w:szCs w:val="36"/>
        </w:rPr>
      </w:pPr>
      <w:bookmarkStart w:id="0" w:name="RANGE!A1:I22"/>
      <w:bookmarkEnd w:id="0"/>
      <w:bookmarkStart w:id="1" w:name="RANGE!A1:F16"/>
    </w:p>
    <w:p>
      <w:pPr>
        <w:widowControl/>
        <w:jc w:val="center"/>
        <w:rPr>
          <w:rFonts w:ascii="Times New Roman" w:hAnsi="Times New Roman" w:eastAsia="方正小标宋_GBK" w:cs="Times New Roman"/>
          <w:kern w:val="0"/>
          <w:sz w:val="36"/>
          <w:szCs w:val="36"/>
        </w:rPr>
      </w:pPr>
      <w:r>
        <w:drawing>
          <wp:inline distT="0" distB="0" distL="114300" distR="114300">
            <wp:extent cx="9768205" cy="2104390"/>
            <wp:effectExtent l="0" t="0" r="4445" b="1016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1"/>
                    <a:stretch>
                      <a:fillRect/>
                    </a:stretch>
                  </pic:blipFill>
                  <pic:spPr>
                    <a:xfrm>
                      <a:off x="0" y="0"/>
                      <a:ext cx="9768205" cy="2104390"/>
                    </a:xfrm>
                    <a:prstGeom prst="rect">
                      <a:avLst/>
                    </a:prstGeom>
                    <a:noFill/>
                    <a:ln>
                      <a:noFill/>
                    </a:ln>
                  </pic:spPr>
                </pic:pic>
              </a:graphicData>
            </a:graphic>
          </wp:inline>
        </w:drawing>
      </w: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bookmarkEnd w:id="1"/>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p>
      <w:pPr>
        <w:widowControl/>
        <w:jc w:val="left"/>
        <w:rPr>
          <w:rFonts w:ascii="宋体" w:eastAsia="宋体" w:cs="宋体"/>
          <w:kern w:val="0"/>
          <w:sz w:val="24"/>
          <w:szCs w:val="24"/>
        </w:rPr>
      </w:pPr>
      <w:r>
        <w:drawing>
          <wp:inline distT="0" distB="0" distL="114300" distR="114300">
            <wp:extent cx="9667875" cy="3181350"/>
            <wp:effectExtent l="0" t="0" r="952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2"/>
                    <a:stretch>
                      <a:fillRect/>
                    </a:stretch>
                  </pic:blipFill>
                  <pic:spPr>
                    <a:xfrm>
                      <a:off x="0" y="0"/>
                      <a:ext cx="9667875" cy="3181350"/>
                    </a:xfrm>
                    <a:prstGeom prst="rect">
                      <a:avLst/>
                    </a:prstGeom>
                    <a:noFill/>
                    <a:ln>
                      <a:noFill/>
                    </a:ln>
                  </pic:spPr>
                </pic:pic>
              </a:graphicData>
            </a:graphic>
          </wp:inline>
        </w:drawing>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pStyle w:val="11"/>
        <w:rPr>
          <w:sz w:val="72"/>
          <w:szCs w:val="72"/>
        </w:rPr>
        <w:sectPr>
          <w:pgSz w:w="16838" w:h="11906" w:orient="landscape"/>
          <w:pgMar w:top="720" w:right="720" w:bottom="720" w:left="720" w:header="851" w:footer="992" w:gutter="0"/>
          <w:cols w:space="425" w:num="1"/>
          <w:docGrid w:type="lines" w:linePitch="312" w:charSpace="0"/>
        </w:sectPr>
      </w:pPr>
      <w:r>
        <w:drawing>
          <wp:inline distT="0" distB="0" distL="114300" distR="114300">
            <wp:extent cx="8982075" cy="3238500"/>
            <wp:effectExtent l="0" t="0" r="952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3"/>
                    <a:stretch>
                      <a:fillRect/>
                    </a:stretch>
                  </pic:blipFill>
                  <pic:spPr>
                    <a:xfrm>
                      <a:off x="0" y="0"/>
                      <a:ext cx="8982075" cy="3238500"/>
                    </a:xfrm>
                    <a:prstGeom prst="rect">
                      <a:avLst/>
                    </a:prstGeom>
                    <a:noFill/>
                    <a:ln>
                      <a:noFill/>
                    </a:ln>
                  </pic:spPr>
                </pic:pic>
              </a:graphicData>
            </a:graphic>
          </wp:inline>
        </w:drawing>
      </w:r>
    </w:p>
    <w:p>
      <w:pPr>
        <w:pStyle w:val="11"/>
        <w:rPr>
          <w:sz w:val="72"/>
          <w:szCs w:val="72"/>
        </w:rPr>
      </w:pPr>
    </w:p>
    <w:p>
      <w:pPr>
        <w:pStyle w:val="11"/>
        <w:rPr>
          <w:sz w:val="72"/>
          <w:szCs w:val="72"/>
        </w:rPr>
      </w:pPr>
    </w:p>
    <w:p>
      <w:pPr>
        <w:pStyle w:val="11"/>
        <w:rPr>
          <w:sz w:val="72"/>
          <w:szCs w:val="72"/>
        </w:rPr>
      </w:pPr>
    </w:p>
    <w:p>
      <w:pPr>
        <w:pStyle w:val="11"/>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第三部分</w:t>
      </w:r>
    </w:p>
    <w:p>
      <w:pPr>
        <w:pStyle w:val="11"/>
        <w:jc w:val="center"/>
        <w:rPr>
          <w:sz w:val="70"/>
          <w:szCs w:val="70"/>
        </w:rPr>
      </w:pPr>
    </w:p>
    <w:p>
      <w:pPr>
        <w:pStyle w:val="11"/>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11"/>
        <w:rPr>
          <w:rFonts w:asciiTheme="minorEastAsia" w:hAnsiTheme="minorEastAsia" w:eastAsiaTheme="minorEastAsia"/>
          <w:sz w:val="32"/>
          <w:szCs w:val="32"/>
        </w:rPr>
      </w:pPr>
    </w:p>
    <w:p>
      <w:pPr>
        <w:pStyle w:val="11"/>
        <w:rPr>
          <w:rFonts w:hAnsi="黑体"/>
          <w:b/>
          <w:sz w:val="32"/>
          <w:szCs w:val="32"/>
        </w:rPr>
      </w:pPr>
      <w:r>
        <w:rPr>
          <w:rFonts w:hint="eastAsia" w:hAnsi="黑体"/>
          <w:b/>
          <w:sz w:val="32"/>
          <w:szCs w:val="32"/>
        </w:rPr>
        <w:t>一、收入支出决算总体情况说明</w:t>
      </w:r>
    </w:p>
    <w:p>
      <w:pPr>
        <w:pStyle w:val="11"/>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2020年度收入总计1569.12万元，与上年相比，减少201.77万元，减少11.39%，主要是因为财政压减一般性支出拨款；2020年度支出总计1670.6万元，与上年相比，减少115.08万元，减少6.44%，主要是因为本单位</w:t>
      </w:r>
      <w:r>
        <w:rPr>
          <w:rFonts w:hint="eastAsia" w:cs="黑体" w:asciiTheme="minorEastAsia" w:hAnsiTheme="minorEastAsia" w:eastAsiaTheme="minorEastAsia"/>
          <w:color w:val="000000"/>
          <w:kern w:val="0"/>
          <w:sz w:val="32"/>
          <w:szCs w:val="32"/>
          <w:lang w:val="en-US" w:eastAsia="zh-CN" w:bidi="ar-SA"/>
        </w:rPr>
        <w:t>严格控制经费开支，</w:t>
      </w:r>
      <w:r>
        <w:rPr>
          <w:rFonts w:hint="eastAsia" w:asciiTheme="minorEastAsia" w:hAnsiTheme="minorEastAsia" w:eastAsiaTheme="minorEastAsia"/>
          <w:sz w:val="32"/>
          <w:szCs w:val="32"/>
          <w:lang w:val="en-US" w:eastAsia="zh-CN"/>
        </w:rPr>
        <w:t>节约开支。</w:t>
      </w:r>
    </w:p>
    <w:p>
      <w:pPr>
        <w:pStyle w:val="11"/>
        <w:rPr>
          <w:rFonts w:hAnsi="黑体"/>
          <w:b/>
          <w:sz w:val="32"/>
          <w:szCs w:val="32"/>
        </w:rPr>
      </w:pPr>
      <w:r>
        <w:rPr>
          <w:rFonts w:hint="eastAsia" w:hAnsi="黑体"/>
          <w:b/>
          <w:sz w:val="32"/>
          <w:szCs w:val="32"/>
        </w:rPr>
        <w:t>二、收入决算情况说明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本年收入合计1569.12万元，其中：财政拨款收入1569.12万元，占100%；上级补助收入0万元，占0%；事业收入0万元，占0%；经营收入0万元，占0%；附属单位上缴收入0万元，占0%；其他收入0万元，占0%。</w:t>
      </w:r>
    </w:p>
    <w:p>
      <w:pPr>
        <w:pStyle w:val="11"/>
        <w:rPr>
          <w:rFonts w:hAnsi="黑体"/>
          <w:b/>
          <w:sz w:val="32"/>
          <w:szCs w:val="32"/>
        </w:rPr>
      </w:pPr>
      <w:r>
        <w:rPr>
          <w:rFonts w:hint="eastAsia" w:hAnsi="黑体"/>
          <w:b/>
          <w:sz w:val="32"/>
          <w:szCs w:val="32"/>
        </w:rPr>
        <w:t>三、支出决算情况说明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1670.6</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1296.2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77.59</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374.4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22.41</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四、财政拨款收入支出决算总体情况说明</w:t>
      </w:r>
    </w:p>
    <w:p>
      <w:pPr>
        <w:pStyle w:val="11"/>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color w:val="auto"/>
          <w:sz w:val="32"/>
          <w:szCs w:val="32"/>
          <w:shd w:val="clear" w:color="auto" w:fill="auto"/>
        </w:rPr>
        <w:t xml:space="preserve">  </w:t>
      </w:r>
      <w:r>
        <w:rPr>
          <w:rFonts w:hint="eastAsia" w:asciiTheme="minorEastAsia" w:hAnsiTheme="minorEastAsia" w:eastAsiaTheme="minorEastAsia"/>
          <w:sz w:val="32"/>
          <w:szCs w:val="32"/>
        </w:rPr>
        <w:t>2020年度财政拨款收</w:t>
      </w:r>
      <w:r>
        <w:rPr>
          <w:rFonts w:hint="eastAsia" w:asciiTheme="minorEastAsia" w:hAnsiTheme="minorEastAsia" w:eastAsiaTheme="minorEastAsia"/>
          <w:sz w:val="32"/>
          <w:szCs w:val="32"/>
          <w:lang w:val="en-US" w:eastAsia="zh-CN"/>
        </w:rPr>
        <w:t>入</w:t>
      </w:r>
      <w:r>
        <w:rPr>
          <w:rFonts w:hint="eastAsia" w:asciiTheme="minorEastAsia" w:hAnsiTheme="minorEastAsia" w:eastAsiaTheme="minorEastAsia"/>
          <w:sz w:val="32"/>
          <w:szCs w:val="32"/>
        </w:rPr>
        <w:t>总计</w:t>
      </w:r>
      <w:r>
        <w:rPr>
          <w:rFonts w:hint="eastAsia" w:asciiTheme="minorEastAsia" w:hAnsiTheme="minorEastAsia" w:eastAsiaTheme="minorEastAsia"/>
          <w:sz w:val="32"/>
          <w:szCs w:val="32"/>
          <w:lang w:val="en-US" w:eastAsia="zh-CN"/>
        </w:rPr>
        <w:t>1569.12</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201.77</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11.39</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财政压减一般性支出拨款；支出总计</w:t>
      </w:r>
      <w:r>
        <w:rPr>
          <w:rFonts w:hint="eastAsia" w:asciiTheme="minorEastAsia" w:hAnsiTheme="minorEastAsia" w:eastAsiaTheme="minorEastAsia"/>
          <w:sz w:val="32"/>
          <w:szCs w:val="32"/>
          <w:lang w:val="en-US" w:eastAsia="zh-CN"/>
        </w:rPr>
        <w:t>1670.6万元，</w:t>
      </w:r>
      <w:r>
        <w:rPr>
          <w:rFonts w:hint="eastAsia" w:asciiTheme="minorEastAsia" w:hAnsiTheme="minorEastAsia" w:eastAsiaTheme="minorEastAsia"/>
          <w:sz w:val="32"/>
          <w:szCs w:val="32"/>
          <w:lang w:eastAsia="zh-CN"/>
        </w:rPr>
        <w:t>与上年相比，减少</w:t>
      </w:r>
      <w:r>
        <w:rPr>
          <w:rFonts w:hint="eastAsia" w:asciiTheme="minorEastAsia" w:hAnsiTheme="minorEastAsia" w:eastAsiaTheme="minorEastAsia"/>
          <w:sz w:val="32"/>
          <w:szCs w:val="32"/>
          <w:lang w:val="en-US" w:eastAsia="zh-CN"/>
        </w:rPr>
        <w:t>115.08</w:t>
      </w:r>
      <w:r>
        <w:rPr>
          <w:rFonts w:hint="eastAsia" w:asciiTheme="minorEastAsia" w:hAnsiTheme="minorEastAsia" w:eastAsiaTheme="minorEastAsia"/>
          <w:sz w:val="32"/>
          <w:szCs w:val="32"/>
          <w:lang w:eastAsia="zh-CN"/>
        </w:rPr>
        <w:t>万元，减少</w:t>
      </w:r>
      <w:r>
        <w:rPr>
          <w:rFonts w:hint="eastAsia" w:asciiTheme="minorEastAsia" w:hAnsiTheme="minorEastAsia" w:eastAsiaTheme="minorEastAsia"/>
          <w:sz w:val="32"/>
          <w:szCs w:val="32"/>
          <w:lang w:val="en-US" w:eastAsia="zh-CN"/>
        </w:rPr>
        <w:t>6.44</w:t>
      </w:r>
      <w:r>
        <w:rPr>
          <w:rFonts w:hint="eastAsia" w:asciiTheme="minorEastAsia" w:hAnsiTheme="minorEastAsia" w:eastAsiaTheme="minorEastAsia"/>
          <w:sz w:val="32"/>
          <w:szCs w:val="32"/>
          <w:lang w:eastAsia="zh-CN"/>
        </w:rPr>
        <w:t>%，主要是因为</w:t>
      </w:r>
      <w:r>
        <w:rPr>
          <w:rFonts w:hint="eastAsia" w:asciiTheme="minorEastAsia" w:hAnsiTheme="minorEastAsia" w:eastAsiaTheme="minorEastAsia"/>
          <w:sz w:val="32"/>
          <w:szCs w:val="32"/>
          <w:lang w:val="en-US" w:eastAsia="zh-CN"/>
        </w:rPr>
        <w:t>本单位</w:t>
      </w:r>
      <w:r>
        <w:rPr>
          <w:rFonts w:hint="eastAsia" w:cs="黑体" w:asciiTheme="minorEastAsia" w:hAnsiTheme="minorEastAsia" w:eastAsiaTheme="minorEastAsia"/>
          <w:color w:val="000000"/>
          <w:kern w:val="0"/>
          <w:sz w:val="32"/>
          <w:szCs w:val="32"/>
          <w:lang w:val="en-US" w:eastAsia="zh-CN" w:bidi="ar-SA"/>
        </w:rPr>
        <w:t>严格控制经费开支，</w:t>
      </w:r>
      <w:r>
        <w:rPr>
          <w:rFonts w:hint="eastAsia" w:asciiTheme="minorEastAsia" w:hAnsiTheme="minorEastAsia" w:eastAsiaTheme="minorEastAsia"/>
          <w:sz w:val="32"/>
          <w:szCs w:val="32"/>
          <w:lang w:val="en-US" w:eastAsia="zh-CN"/>
        </w:rPr>
        <w:t>节约开支。</w:t>
      </w:r>
    </w:p>
    <w:p>
      <w:pPr>
        <w:pStyle w:val="11"/>
        <w:rPr>
          <w:rFonts w:hAnsi="黑体"/>
          <w:b/>
          <w:sz w:val="32"/>
          <w:szCs w:val="32"/>
        </w:rPr>
      </w:pPr>
      <w:r>
        <w:rPr>
          <w:rFonts w:hint="eastAsia" w:hAnsi="黑体"/>
          <w:b/>
          <w:sz w:val="32"/>
          <w:szCs w:val="32"/>
        </w:rPr>
        <w:t>五、一般公共预算财政拨款支出决算情况说明</w:t>
      </w:r>
    </w:p>
    <w:p>
      <w:pPr>
        <w:pStyle w:val="11"/>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1"/>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1670.6</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%，与上年相比，财政拨款支出减少</w:t>
      </w:r>
      <w:r>
        <w:rPr>
          <w:rFonts w:hint="eastAsia" w:asciiTheme="minorEastAsia" w:hAnsiTheme="minorEastAsia" w:eastAsiaTheme="minorEastAsia"/>
          <w:sz w:val="32"/>
          <w:szCs w:val="32"/>
          <w:lang w:val="en-US" w:eastAsia="zh-CN"/>
        </w:rPr>
        <w:t>115.08万元，减少6.44%</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本单位</w:t>
      </w:r>
      <w:r>
        <w:rPr>
          <w:rFonts w:hint="eastAsia" w:cs="黑体" w:asciiTheme="minorEastAsia" w:hAnsiTheme="minorEastAsia" w:eastAsiaTheme="minorEastAsia"/>
          <w:color w:val="000000"/>
          <w:kern w:val="0"/>
          <w:sz w:val="32"/>
          <w:szCs w:val="32"/>
          <w:lang w:val="en-US" w:eastAsia="zh-CN" w:bidi="ar-SA"/>
        </w:rPr>
        <w:t>严格控制经费开支，</w:t>
      </w:r>
      <w:r>
        <w:rPr>
          <w:rFonts w:hint="eastAsia" w:asciiTheme="minorEastAsia" w:hAnsiTheme="minorEastAsia" w:eastAsiaTheme="minorEastAsia"/>
          <w:sz w:val="32"/>
          <w:szCs w:val="32"/>
          <w:lang w:val="en-US" w:eastAsia="zh-CN"/>
        </w:rPr>
        <w:t>节约开支。</w:t>
      </w:r>
    </w:p>
    <w:p>
      <w:pPr>
        <w:pStyle w:val="11"/>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1"/>
        <w:ind w:firstLine="640" w:firstLineChars="200"/>
        <w:rPr>
          <w:rFonts w:hint="default" w:asciiTheme="minorEastAsia" w:hAnsiTheme="minorEastAsia" w:eastAsiaTheme="minorEastAsia"/>
          <w:sz w:val="32"/>
          <w:szCs w:val="32"/>
          <w:shd w:val="clear" w:fill="FFFF00"/>
          <w:lang w:val="en-US" w:eastAsia="zh-CN"/>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1670.6</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%；教育（类）支出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公共安全（类）支出1336.41万元，占79.99%；社会保障和就业（类）支出76.64万元，占4.59%；卫生健康</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32.9万元，占1.97%；其他</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支出224.65万元，占13.45%。</w:t>
      </w:r>
    </w:p>
    <w:p>
      <w:pPr>
        <w:pStyle w:val="11"/>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w:t>
      </w:r>
      <w:r>
        <w:rPr>
          <w:rFonts w:hint="eastAsia" w:asciiTheme="minorEastAsia" w:hAnsiTheme="minorEastAsia" w:eastAsiaTheme="minorEastAsia"/>
          <w:sz w:val="32"/>
          <w:szCs w:val="32"/>
          <w:lang w:val="en-US" w:eastAsia="zh-CN"/>
        </w:rPr>
        <w:t>1221.25</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1670.6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136.79</w:t>
      </w:r>
      <w:r>
        <w:rPr>
          <w:rFonts w:hint="eastAsia" w:asciiTheme="minorEastAsia" w:hAnsiTheme="minorEastAsia" w:eastAsiaTheme="minorEastAsia"/>
          <w:sz w:val="32"/>
          <w:szCs w:val="32"/>
        </w:rPr>
        <w:t>%，其中：</w:t>
      </w:r>
    </w:p>
    <w:p>
      <w:pPr>
        <w:pStyle w:val="11"/>
        <w:numPr>
          <w:ilvl w:val="0"/>
          <w:numId w:val="2"/>
        </w:numPr>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基本支出</w:t>
      </w:r>
      <w:r>
        <w:rPr>
          <w:rFonts w:hint="eastAsia" w:asciiTheme="minorEastAsia" w:hAnsiTheme="minorEastAsia" w:eastAsiaTheme="minorEastAsia"/>
          <w:sz w:val="32"/>
          <w:szCs w:val="32"/>
        </w:rPr>
        <w:t>年初</w:t>
      </w:r>
      <w:r>
        <w:rPr>
          <w:rFonts w:hint="eastAsia" w:asciiTheme="minorEastAsia" w:hAnsiTheme="minorEastAsia" w:eastAsiaTheme="minorEastAsia"/>
          <w:sz w:val="32"/>
          <w:szCs w:val="32"/>
          <w:lang w:eastAsia="zh-CN"/>
        </w:rPr>
        <w:t>预算为</w:t>
      </w:r>
      <w:r>
        <w:rPr>
          <w:rFonts w:hint="eastAsia" w:asciiTheme="minorEastAsia" w:hAnsiTheme="minorEastAsia" w:eastAsiaTheme="minorEastAsia"/>
          <w:sz w:val="32"/>
          <w:szCs w:val="32"/>
          <w:lang w:val="en-US" w:eastAsia="zh-CN"/>
        </w:rPr>
        <w:t>990.25</w:t>
      </w:r>
      <w:r>
        <w:rPr>
          <w:rFonts w:hint="eastAsia" w:asciiTheme="minorEastAsia" w:hAnsiTheme="minorEastAsia" w:eastAsiaTheme="minorEastAsia"/>
          <w:sz w:val="32"/>
          <w:szCs w:val="32"/>
          <w:lang w:eastAsia="zh-CN"/>
        </w:rPr>
        <w:t>万元，支出决算为</w:t>
      </w:r>
      <w:r>
        <w:rPr>
          <w:rFonts w:hint="eastAsia" w:asciiTheme="minorEastAsia" w:hAnsiTheme="minorEastAsia" w:eastAsiaTheme="minorEastAsia"/>
          <w:sz w:val="32"/>
          <w:szCs w:val="32"/>
          <w:lang w:val="en-US" w:eastAsia="zh-CN"/>
        </w:rPr>
        <w:t>1296.2</w:t>
      </w:r>
      <w:r>
        <w:rPr>
          <w:rFonts w:hint="eastAsia" w:asciiTheme="minorEastAsia" w:hAnsiTheme="minorEastAsia" w:eastAsiaTheme="minorEastAsia"/>
          <w:sz w:val="32"/>
          <w:szCs w:val="32"/>
          <w:lang w:eastAsia="zh-CN"/>
        </w:rPr>
        <w:t>万元，完成年初预算的</w:t>
      </w:r>
      <w:r>
        <w:rPr>
          <w:rFonts w:hint="eastAsia" w:asciiTheme="minorEastAsia" w:hAnsiTheme="minorEastAsia" w:eastAsiaTheme="minorEastAsia"/>
          <w:sz w:val="32"/>
          <w:szCs w:val="32"/>
          <w:lang w:val="en-US" w:eastAsia="zh-CN"/>
        </w:rPr>
        <w:t>130.90</w:t>
      </w:r>
      <w:r>
        <w:rPr>
          <w:rFonts w:hint="eastAsia" w:asciiTheme="minorEastAsia" w:hAnsiTheme="minorEastAsia" w:eastAsiaTheme="minorEastAsia"/>
          <w:sz w:val="32"/>
          <w:szCs w:val="32"/>
          <w:lang w:eastAsia="zh-CN"/>
        </w:rPr>
        <w:t>%，决算数大于年初预算数的主要原因是：因为</w:t>
      </w:r>
      <w:r>
        <w:rPr>
          <w:rFonts w:hint="default" w:asciiTheme="minorEastAsia" w:hAnsiTheme="minorEastAsia" w:eastAsiaTheme="minorEastAsia"/>
          <w:sz w:val="32"/>
          <w:szCs w:val="32"/>
          <w:lang w:val="en-US" w:eastAsia="zh-CN"/>
        </w:rPr>
        <w:t>市直单位工资标准的提高、以及专项行动办案经费增加</w:t>
      </w:r>
      <w:r>
        <w:rPr>
          <w:rFonts w:hint="eastAsia" w:asciiTheme="minorEastAsia" w:hAnsiTheme="minorEastAsia" w:eastAsiaTheme="minorEastAsia"/>
          <w:sz w:val="32"/>
          <w:szCs w:val="32"/>
          <w:lang w:val="en-US" w:eastAsia="zh-CN"/>
        </w:rPr>
        <w:t>。</w:t>
      </w:r>
    </w:p>
    <w:p>
      <w:pPr>
        <w:pStyle w:val="11"/>
        <w:numPr>
          <w:ilvl w:val="0"/>
          <w:numId w:val="2"/>
        </w:numPr>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项目支出</w:t>
      </w:r>
      <w:r>
        <w:rPr>
          <w:rFonts w:hint="eastAsia" w:asciiTheme="minorEastAsia" w:hAnsiTheme="minorEastAsia" w:eastAsiaTheme="minorEastAsia"/>
          <w:sz w:val="32"/>
          <w:szCs w:val="32"/>
          <w:lang w:eastAsia="zh-CN"/>
        </w:rPr>
        <w:t>年初预算为</w:t>
      </w:r>
      <w:r>
        <w:rPr>
          <w:rFonts w:hint="eastAsia" w:asciiTheme="minorEastAsia" w:hAnsiTheme="minorEastAsia" w:eastAsiaTheme="minorEastAsia"/>
          <w:sz w:val="32"/>
          <w:szCs w:val="32"/>
          <w:lang w:val="en-US" w:eastAsia="zh-CN"/>
        </w:rPr>
        <w:t>231</w:t>
      </w:r>
      <w:r>
        <w:rPr>
          <w:rFonts w:hint="eastAsia" w:asciiTheme="minorEastAsia" w:hAnsiTheme="minorEastAsia" w:eastAsiaTheme="minorEastAsia"/>
          <w:sz w:val="32"/>
          <w:szCs w:val="32"/>
          <w:lang w:eastAsia="zh-CN"/>
        </w:rPr>
        <w:t>万元，支出决算为</w:t>
      </w:r>
      <w:r>
        <w:rPr>
          <w:rFonts w:hint="eastAsia" w:asciiTheme="minorEastAsia" w:hAnsiTheme="minorEastAsia" w:eastAsiaTheme="minorEastAsia"/>
          <w:sz w:val="32"/>
          <w:szCs w:val="32"/>
          <w:lang w:val="en-US" w:eastAsia="zh-CN"/>
        </w:rPr>
        <w:t>374.4</w:t>
      </w:r>
      <w:r>
        <w:rPr>
          <w:rFonts w:hint="eastAsia" w:asciiTheme="minorEastAsia" w:hAnsiTheme="minorEastAsia" w:eastAsiaTheme="minorEastAsia"/>
          <w:sz w:val="32"/>
          <w:szCs w:val="32"/>
          <w:lang w:eastAsia="zh-CN"/>
        </w:rPr>
        <w:t>万元，完成年初预算的</w:t>
      </w:r>
      <w:r>
        <w:rPr>
          <w:rFonts w:hint="eastAsia" w:asciiTheme="minorEastAsia" w:hAnsiTheme="minorEastAsia" w:eastAsiaTheme="minorEastAsia"/>
          <w:sz w:val="32"/>
          <w:szCs w:val="32"/>
          <w:lang w:val="en-US" w:eastAsia="zh-CN"/>
        </w:rPr>
        <w:t>162.08</w:t>
      </w:r>
      <w:r>
        <w:rPr>
          <w:rFonts w:hint="eastAsia" w:asciiTheme="minorEastAsia" w:hAnsiTheme="minorEastAsia" w:eastAsiaTheme="minorEastAsia"/>
          <w:sz w:val="32"/>
          <w:szCs w:val="32"/>
          <w:lang w:eastAsia="zh-CN"/>
        </w:rPr>
        <w:t>%，决算数大于年初预算数的主要原因是：办案设备的购置、</w:t>
      </w:r>
      <w:r>
        <w:rPr>
          <w:rFonts w:hint="default" w:asciiTheme="minorEastAsia" w:hAnsiTheme="minorEastAsia" w:eastAsiaTheme="minorEastAsia"/>
          <w:sz w:val="32"/>
          <w:szCs w:val="32"/>
          <w:lang w:val="en-US" w:eastAsia="zh-CN"/>
        </w:rPr>
        <w:t>专项行动办案经费</w:t>
      </w:r>
      <w:r>
        <w:rPr>
          <w:rFonts w:hint="eastAsia" w:asciiTheme="minorEastAsia" w:hAnsiTheme="minorEastAsia" w:eastAsiaTheme="minorEastAsia"/>
          <w:sz w:val="32"/>
          <w:szCs w:val="32"/>
          <w:lang w:val="en-US" w:eastAsia="zh-CN"/>
        </w:rPr>
        <w:t>的</w:t>
      </w:r>
      <w:r>
        <w:rPr>
          <w:rFonts w:hint="default" w:asciiTheme="minorEastAsia" w:hAnsiTheme="minorEastAsia" w:eastAsiaTheme="minorEastAsia"/>
          <w:sz w:val="32"/>
          <w:szCs w:val="32"/>
          <w:lang w:val="en-US" w:eastAsia="zh-CN"/>
        </w:rPr>
        <w:t>增加</w:t>
      </w:r>
      <w:r>
        <w:rPr>
          <w:rFonts w:hint="eastAsia" w:asciiTheme="minorEastAsia" w:hAnsiTheme="minorEastAsia" w:eastAsiaTheme="minorEastAsia"/>
          <w:sz w:val="32"/>
          <w:szCs w:val="32"/>
          <w:lang w:val="en-US" w:eastAsia="zh-CN"/>
        </w:rPr>
        <w:t>等。</w:t>
      </w:r>
    </w:p>
    <w:p>
      <w:pPr>
        <w:pStyle w:val="11"/>
        <w:rPr>
          <w:rFonts w:hAnsi="黑体"/>
          <w:b/>
          <w:sz w:val="32"/>
          <w:szCs w:val="32"/>
        </w:rPr>
      </w:pPr>
      <w:r>
        <w:rPr>
          <w:rFonts w:hint="eastAsia" w:hAnsi="黑体"/>
          <w:b/>
          <w:sz w:val="32"/>
          <w:szCs w:val="32"/>
        </w:rPr>
        <w:t>六、一般公共预算财政拨款基本支出决算情况说明</w:t>
      </w:r>
    </w:p>
    <w:p>
      <w:pPr>
        <w:pStyle w:val="11"/>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2020年度财政拨款基本支出</w:t>
      </w:r>
      <w:r>
        <w:rPr>
          <w:rFonts w:hint="eastAsia" w:asciiTheme="minorEastAsia" w:hAnsiTheme="minorEastAsia" w:eastAsiaTheme="minorEastAsia"/>
          <w:sz w:val="32"/>
          <w:szCs w:val="32"/>
          <w:lang w:val="en-US" w:eastAsia="zh-CN"/>
        </w:rPr>
        <w:t>1296.2</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1126.06</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86.87%</w:t>
      </w:r>
      <w:r>
        <w:rPr>
          <w:rFonts w:hint="eastAsia" w:asciiTheme="minorEastAsia" w:hAnsiTheme="minorEastAsia" w:eastAsiaTheme="minorEastAsia"/>
          <w:sz w:val="32"/>
          <w:szCs w:val="32"/>
        </w:rPr>
        <w:t>,主要包括</w:t>
      </w:r>
      <w:r>
        <w:rPr>
          <w:rFonts w:hint="eastAsia" w:asciiTheme="minorEastAsia" w:hAnsiTheme="minorEastAsia" w:eastAsiaTheme="minorEastAsia"/>
          <w:sz w:val="32"/>
          <w:szCs w:val="32"/>
          <w:lang w:val="en-US" w:eastAsia="zh-CN"/>
        </w:rPr>
        <w:t>基本工资291.65</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、津贴补贴248.67</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、奖金159.18</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、伙食补助费20.35</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、机关事业单位基本养老保险缴费75.54</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、职工基本医疗保险缴费29.66</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、其他社会保障缴费88.65</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、其他工资福利支出156.84</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、生活补助7.14</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、医疗费补助12.2</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、奖励金21.4万元、其他对个人和家庭的补助14.78</w:t>
      </w:r>
      <w:r>
        <w:rPr>
          <w:rFonts w:hint="eastAsia" w:asciiTheme="minorEastAsia" w:hAnsiTheme="minorEastAsia" w:eastAsiaTheme="minorEastAsia"/>
          <w:sz w:val="32"/>
          <w:szCs w:val="32"/>
        </w:rPr>
        <w:t>万元；公用经费</w:t>
      </w:r>
      <w:r>
        <w:rPr>
          <w:rFonts w:hint="eastAsia" w:asciiTheme="minorEastAsia" w:hAnsiTheme="minorEastAsia" w:eastAsiaTheme="minorEastAsia"/>
          <w:sz w:val="32"/>
          <w:szCs w:val="32"/>
          <w:lang w:val="en-US" w:eastAsia="zh-CN"/>
        </w:rPr>
        <w:t>170.15</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13.13</w:t>
      </w:r>
      <w:r>
        <w:rPr>
          <w:rFonts w:hint="eastAsia" w:asciiTheme="minorEastAsia" w:hAnsiTheme="minorEastAsia" w:eastAsiaTheme="minorEastAsia"/>
          <w:sz w:val="32"/>
          <w:szCs w:val="32"/>
        </w:rPr>
        <w:t>%，主要包括</w:t>
      </w:r>
      <w:r>
        <w:rPr>
          <w:rFonts w:hint="eastAsia" w:asciiTheme="minorEastAsia" w:hAnsiTheme="minorEastAsia" w:eastAsiaTheme="minorEastAsia"/>
          <w:sz w:val="32"/>
          <w:szCs w:val="32"/>
          <w:lang w:val="en-US" w:eastAsia="zh-CN"/>
        </w:rPr>
        <w:t>办公费7.48</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、印刷费0.94</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、咨询费0.9</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、电费0.49</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、邮电费1.6</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、差旅费20.55</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、维修（护）费17.54</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、培训费6.59</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、公务接待费3.69</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、专用材料费1.31</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、被装购置费5.38</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劳务费2.44</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、工会经费31.5</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、公务用车运行维护费5.84</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、其他交通费用49.65</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、其他商品和服务支出10.06</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、资本性支出（办公设备购置）</w:t>
      </w:r>
      <w:r>
        <w:rPr>
          <w:rFonts w:hint="eastAsia" w:asciiTheme="minorEastAsia" w:hAnsiTheme="minorEastAsia" w:eastAsiaTheme="minorEastAsia"/>
          <w:sz w:val="32"/>
          <w:szCs w:val="32"/>
          <w:lang w:val="en-US" w:eastAsia="zh-CN"/>
        </w:rPr>
        <w:t>4.18</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等；</w:t>
      </w:r>
    </w:p>
    <w:p>
      <w:pPr>
        <w:pStyle w:val="11"/>
        <w:rPr>
          <w:rFonts w:hAnsi="黑体"/>
          <w:b/>
          <w:sz w:val="32"/>
          <w:szCs w:val="32"/>
        </w:rPr>
      </w:pPr>
      <w:r>
        <w:rPr>
          <w:rFonts w:hint="eastAsia" w:hAnsi="黑体"/>
          <w:b/>
          <w:sz w:val="32"/>
          <w:szCs w:val="32"/>
        </w:rPr>
        <w:t>七、一般公共预算财政拨款三公经费支出决算情况说明</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99</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21.75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21.97</w:t>
      </w:r>
      <w:r>
        <w:rPr>
          <w:rFonts w:hint="eastAsia" w:asciiTheme="minorEastAsia" w:hAnsiTheme="minorEastAsia" w:eastAsiaTheme="minorEastAsia"/>
          <w:sz w:val="32"/>
          <w:szCs w:val="32"/>
        </w:rPr>
        <w:t>%，其中：</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34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3.69</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10.85</w:t>
      </w:r>
      <w:r>
        <w:rPr>
          <w:rFonts w:hint="eastAsia" w:asciiTheme="minorEastAsia" w:hAnsiTheme="minorEastAsia" w:eastAsiaTheme="minorEastAsia"/>
          <w:sz w:val="32"/>
          <w:szCs w:val="32"/>
        </w:rPr>
        <w:t>%，决算数小于预算数的主要原因是</w:t>
      </w:r>
      <w:r>
        <w:rPr>
          <w:rFonts w:hint="default" w:asciiTheme="minorEastAsia" w:hAnsiTheme="minorEastAsia" w:eastAsiaTheme="minorEastAsia"/>
          <w:sz w:val="32"/>
          <w:szCs w:val="32"/>
          <w:lang w:val="en-US" w:eastAsia="zh-CN"/>
        </w:rPr>
        <w:t>节约开支。为严格执行中央、省、市公务接待的文件精神，20</w:t>
      </w:r>
      <w:r>
        <w:rPr>
          <w:rFonts w:hint="eastAsia" w:asciiTheme="minorEastAsia" w:hAnsiTheme="minorEastAsia" w:eastAsiaTheme="minorEastAsia"/>
          <w:sz w:val="32"/>
          <w:szCs w:val="32"/>
          <w:lang w:val="en-US" w:eastAsia="zh-CN"/>
        </w:rPr>
        <w:t>20</w:t>
      </w:r>
      <w:r>
        <w:rPr>
          <w:rFonts w:hint="default" w:asciiTheme="minorEastAsia" w:hAnsiTheme="minorEastAsia" w:eastAsiaTheme="minorEastAsia"/>
          <w:sz w:val="32"/>
          <w:szCs w:val="32"/>
          <w:lang w:val="en-US" w:eastAsia="zh-CN"/>
        </w:rPr>
        <w:t>年我局尽量减少公务对外接待次数，并严格控制接待经费标准开支</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21.32</w:t>
      </w:r>
      <w:r>
        <w:rPr>
          <w:rFonts w:hint="eastAsia" w:asciiTheme="minorEastAsia" w:hAnsiTheme="minorEastAsia" w:eastAsiaTheme="minorEastAsia"/>
          <w:sz w:val="32"/>
          <w:szCs w:val="32"/>
        </w:rPr>
        <w:t>%,减少的主要原因是</w:t>
      </w:r>
      <w:r>
        <w:rPr>
          <w:rFonts w:hint="default" w:asciiTheme="minorEastAsia" w:hAnsiTheme="minorEastAsia" w:eastAsiaTheme="minorEastAsia"/>
          <w:sz w:val="32"/>
          <w:szCs w:val="32"/>
          <w:lang w:val="en-US" w:eastAsia="zh-CN"/>
        </w:rPr>
        <w:t>节约开支</w:t>
      </w:r>
      <w:r>
        <w:rPr>
          <w:rFonts w:hint="eastAsia" w:asciiTheme="minorEastAsia" w:hAnsiTheme="minorEastAsia" w:eastAsiaTheme="minorEastAsia"/>
          <w:sz w:val="32"/>
          <w:szCs w:val="32"/>
        </w:rPr>
        <w:t>。</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val="en-US" w:eastAsia="zh-CN"/>
        </w:rPr>
        <w:t>65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18.05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27.77</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节约开支</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25.42</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58.48</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val="en-US" w:eastAsia="zh-CN"/>
        </w:rPr>
        <w:t>本单位对车辆油卡加油情况进行了清查，油卡以前年度有结余，使用油卡结余加油，所以本年度油卡充值数额减少。</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w:t>
      </w:r>
      <w:r>
        <w:rPr>
          <w:rFonts w:hint="eastAsia" w:asciiTheme="minorEastAsia" w:hAnsiTheme="minorEastAsia" w:eastAsiaTheme="minorEastAsia"/>
          <w:sz w:val="32"/>
          <w:szCs w:val="32"/>
          <w:lang w:val="en-US" w:eastAsia="zh-CN"/>
        </w:rPr>
        <w:t>3.69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16.97</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18.05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83.03</w:t>
      </w:r>
      <w:r>
        <w:rPr>
          <w:rFonts w:hint="eastAsia" w:asciiTheme="minorEastAsia" w:hAnsiTheme="minorEastAsia" w:eastAsiaTheme="minorEastAsia"/>
          <w:sz w:val="32"/>
          <w:szCs w:val="32"/>
        </w:rPr>
        <w:t>%。其中：</w:t>
      </w:r>
    </w:p>
    <w:p>
      <w:pPr>
        <w:pStyle w:val="11"/>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3.69</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96</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397</w:t>
      </w:r>
      <w:r>
        <w:rPr>
          <w:rFonts w:hint="eastAsia" w:asciiTheme="minorEastAsia" w:hAnsiTheme="minorEastAsia" w:eastAsiaTheme="minorEastAsia"/>
          <w:sz w:val="32"/>
          <w:szCs w:val="32"/>
        </w:rPr>
        <w:t>人次，主要是主要是</w:t>
      </w:r>
      <w:r>
        <w:rPr>
          <w:rFonts w:hint="eastAsia" w:asciiTheme="minorEastAsia" w:hAnsiTheme="minorEastAsia" w:eastAsiaTheme="minorEastAsia"/>
          <w:sz w:val="32"/>
          <w:szCs w:val="32"/>
          <w:lang w:eastAsia="zh-CN"/>
        </w:rPr>
        <w:t>来访检查工作、交流业务</w:t>
      </w:r>
      <w:r>
        <w:rPr>
          <w:rFonts w:hint="eastAsia" w:asciiTheme="minorEastAsia" w:hAnsiTheme="minorEastAsia" w:eastAsiaTheme="minorEastAsia"/>
          <w:sz w:val="32"/>
          <w:szCs w:val="32"/>
        </w:rPr>
        <w:t>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18.05</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eastAsia="zh-CN"/>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18.05</w:t>
      </w:r>
      <w:r>
        <w:rPr>
          <w:rFonts w:hint="eastAsia" w:asciiTheme="minorEastAsia" w:hAnsiTheme="minorEastAsia"/>
          <w:sz w:val="32"/>
          <w:szCs w:val="32"/>
        </w:rPr>
        <w:t>万元，主要是</w:t>
      </w:r>
      <w:r>
        <w:rPr>
          <w:rFonts w:hint="eastAsia" w:asciiTheme="minorEastAsia" w:hAnsiTheme="minorEastAsia"/>
          <w:sz w:val="32"/>
          <w:szCs w:val="32"/>
          <w:lang w:eastAsia="zh-CN"/>
        </w:rPr>
        <w:t>警车加油、维修、购保险等</w:t>
      </w:r>
      <w:r>
        <w:rPr>
          <w:rFonts w:hint="eastAsia" w:asciiTheme="minorEastAsia" w:hAnsiTheme="minorEastAsia"/>
          <w:sz w:val="32"/>
          <w:szCs w:val="32"/>
        </w:rPr>
        <w:t>支出，截止2020年12月31日，我单位开支财政拨款的公务用车保有量为</w:t>
      </w:r>
      <w:r>
        <w:rPr>
          <w:rFonts w:hint="eastAsia" w:asciiTheme="minorEastAsia" w:hAnsiTheme="minorEastAsia"/>
          <w:sz w:val="32"/>
          <w:szCs w:val="32"/>
          <w:lang w:val="en-US" w:eastAsia="zh-CN"/>
        </w:rPr>
        <w:t>10</w:t>
      </w:r>
      <w:r>
        <w:rPr>
          <w:rFonts w:hint="eastAsia" w:asciiTheme="minorEastAsia" w:hAnsiTheme="minorEastAsia"/>
          <w:sz w:val="32"/>
          <w:szCs w:val="32"/>
        </w:rPr>
        <w:t>辆。</w:t>
      </w:r>
    </w:p>
    <w:p>
      <w:pPr>
        <w:pStyle w:val="11"/>
        <w:rPr>
          <w:rFonts w:hAnsi="黑体"/>
          <w:b/>
          <w:sz w:val="32"/>
          <w:szCs w:val="32"/>
        </w:rPr>
      </w:pPr>
      <w:r>
        <w:rPr>
          <w:rFonts w:hint="eastAsia" w:hAnsi="黑体"/>
          <w:b/>
          <w:sz w:val="32"/>
          <w:szCs w:val="32"/>
        </w:rPr>
        <w:t>八、政府性基金预算收入支出决算情况</w:t>
      </w:r>
    </w:p>
    <w:p>
      <w:pPr>
        <w:pStyle w:val="11"/>
        <w:rPr>
          <w:rFonts w:hint="default" w:asciiTheme="minorEastAsia" w:hAnsiTheme="minorEastAsia" w:eastAsiaTheme="minorEastAsia" w:cstheme="minorBidi"/>
          <w:color w:val="auto"/>
          <w:kern w:val="2"/>
          <w:sz w:val="32"/>
          <w:szCs w:val="32"/>
          <w:lang w:val="en-US" w:eastAsia="zh-CN" w:bidi="ar-SA"/>
        </w:rPr>
      </w:pPr>
      <w:r>
        <w:rPr>
          <w:rFonts w:hint="eastAsia" w:asciiTheme="minorEastAsia" w:hAnsiTheme="minorEastAsia" w:eastAsiaTheme="minorEastAsia"/>
          <w:sz w:val="32"/>
          <w:szCs w:val="32"/>
        </w:rPr>
        <w:t xml:space="preserve">     </w:t>
      </w:r>
      <w:r>
        <w:rPr>
          <w:rFonts w:hint="default" w:asciiTheme="minorEastAsia" w:hAnsiTheme="minorEastAsia" w:eastAsiaTheme="minorEastAsia" w:cstheme="minorBidi"/>
          <w:color w:val="auto"/>
          <w:kern w:val="2"/>
          <w:sz w:val="32"/>
          <w:szCs w:val="32"/>
          <w:lang w:val="en-US" w:eastAsia="zh-CN" w:bidi="ar-SA"/>
        </w:rPr>
        <w:t>本单位无政府性基金收支。</w:t>
      </w:r>
    </w:p>
    <w:p>
      <w:pPr>
        <w:pStyle w:val="11"/>
        <w:rPr>
          <w:rFonts w:hAnsi="黑体"/>
          <w:b/>
          <w:sz w:val="32"/>
          <w:szCs w:val="32"/>
        </w:rPr>
      </w:pPr>
      <w:r>
        <w:rPr>
          <w:rFonts w:hint="eastAsia" w:hAnsi="黑体"/>
          <w:b/>
          <w:sz w:val="32"/>
          <w:szCs w:val="32"/>
        </w:rPr>
        <w:t>九、关于机关运行经费支出说明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本部门2020年度机关运行经费支出</w:t>
      </w:r>
      <w:r>
        <w:rPr>
          <w:rFonts w:hint="eastAsia" w:ascii="仿宋_GB2312" w:hAnsi="仿宋" w:eastAsia="仿宋_GB2312" w:cs="仿宋"/>
          <w:color w:val="000000"/>
          <w:sz w:val="32"/>
          <w:szCs w:val="32"/>
          <w:lang w:val="en-US" w:eastAsia="zh-CN"/>
        </w:rPr>
        <w:t>170.15</w:t>
      </w:r>
      <w:r>
        <w:rPr>
          <w:rFonts w:hint="eastAsia" w:asciiTheme="minorEastAsia" w:hAnsiTheme="minorEastAsia" w:eastAsiaTheme="minorEastAsia"/>
          <w:sz w:val="32"/>
          <w:szCs w:val="32"/>
        </w:rPr>
        <w:t>万元，比年初预算数</w:t>
      </w:r>
      <w:r>
        <w:rPr>
          <w:rFonts w:hint="eastAsia" w:asciiTheme="minorEastAsia" w:hAnsiTheme="minorEastAsia" w:eastAsiaTheme="minorEastAsia"/>
          <w:sz w:val="32"/>
          <w:szCs w:val="32"/>
          <w:lang w:val="en-US" w:eastAsia="zh-CN"/>
        </w:rPr>
        <w:t>221.54万元</w:t>
      </w:r>
      <w:r>
        <w:rPr>
          <w:rFonts w:hint="eastAsia" w:asciiTheme="minorEastAsia" w:hAnsiTheme="minorEastAsia" w:eastAsiaTheme="minorEastAsia"/>
          <w:sz w:val="32"/>
          <w:szCs w:val="32"/>
        </w:rPr>
        <w:t>减少</w:t>
      </w:r>
      <w:r>
        <w:rPr>
          <w:rFonts w:hint="eastAsia" w:asciiTheme="minorEastAsia" w:hAnsiTheme="minorEastAsia" w:eastAsiaTheme="minorEastAsia"/>
          <w:sz w:val="32"/>
          <w:szCs w:val="32"/>
          <w:lang w:val="en-US" w:eastAsia="zh-CN"/>
        </w:rPr>
        <w:t>51.39</w:t>
      </w:r>
      <w:r>
        <w:rPr>
          <w:rFonts w:hint="eastAsia" w:asciiTheme="minorEastAsia" w:hAnsiTheme="minorEastAsia" w:eastAsiaTheme="minorEastAsia"/>
          <w:sz w:val="32"/>
          <w:szCs w:val="32"/>
        </w:rPr>
        <w:t xml:space="preserve"> 万元，降低</w:t>
      </w:r>
      <w:r>
        <w:rPr>
          <w:rFonts w:hint="eastAsia" w:asciiTheme="minorEastAsia" w:hAnsiTheme="minorEastAsia" w:eastAsiaTheme="minorEastAsia"/>
          <w:sz w:val="32"/>
          <w:szCs w:val="32"/>
          <w:lang w:val="en-US" w:eastAsia="zh-CN"/>
        </w:rPr>
        <w:t>23.2</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val="en-US" w:eastAsia="zh-CN"/>
        </w:rPr>
        <w:t>本单位</w:t>
      </w:r>
      <w:r>
        <w:rPr>
          <w:rFonts w:hint="eastAsia" w:cs="黑体" w:asciiTheme="minorEastAsia" w:hAnsiTheme="minorEastAsia" w:eastAsiaTheme="minorEastAsia"/>
          <w:color w:val="000000"/>
          <w:kern w:val="0"/>
          <w:sz w:val="32"/>
          <w:szCs w:val="32"/>
          <w:lang w:val="en-US" w:eastAsia="zh-CN" w:bidi="ar-SA"/>
        </w:rPr>
        <w:t>严格控制经费开支，</w:t>
      </w:r>
      <w:r>
        <w:rPr>
          <w:rFonts w:hint="eastAsia" w:asciiTheme="minorEastAsia" w:hAnsiTheme="minorEastAsia" w:eastAsiaTheme="minorEastAsia"/>
          <w:sz w:val="32"/>
          <w:szCs w:val="32"/>
          <w:lang w:val="en-US" w:eastAsia="zh-CN"/>
        </w:rPr>
        <w:t>节约开支。</w:t>
      </w:r>
    </w:p>
    <w:p>
      <w:pPr>
        <w:pStyle w:val="11"/>
        <w:rPr>
          <w:rFonts w:hAnsi="黑体"/>
          <w:b/>
          <w:sz w:val="32"/>
          <w:szCs w:val="32"/>
        </w:rPr>
      </w:pPr>
      <w:r>
        <w:rPr>
          <w:rFonts w:hint="eastAsia" w:hAnsi="黑体"/>
          <w:b/>
          <w:sz w:val="32"/>
          <w:szCs w:val="32"/>
        </w:rPr>
        <w:t>十、一般性支出情况</w:t>
      </w:r>
    </w:p>
    <w:p>
      <w:pPr>
        <w:pStyle w:val="11"/>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2020年本部门开支培训费</w:t>
      </w:r>
      <w:r>
        <w:rPr>
          <w:rFonts w:hint="eastAsia" w:asciiTheme="minorEastAsia" w:hAnsiTheme="minorEastAsia" w:eastAsiaTheme="minorEastAsia"/>
          <w:sz w:val="32"/>
          <w:szCs w:val="32"/>
          <w:lang w:val="en-US" w:eastAsia="zh-CN"/>
        </w:rPr>
        <w:t>11.06</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主要是</w:t>
      </w:r>
      <w:r>
        <w:rPr>
          <w:rFonts w:hint="eastAsia" w:asciiTheme="minorEastAsia" w:hAnsiTheme="minorEastAsia" w:eastAsiaTheme="minorEastAsia"/>
          <w:sz w:val="32"/>
          <w:szCs w:val="32"/>
        </w:rPr>
        <w:t>用于</w:t>
      </w:r>
      <w:r>
        <w:rPr>
          <w:rFonts w:hint="eastAsia" w:asciiTheme="minorEastAsia" w:hAnsiTheme="minorEastAsia" w:eastAsiaTheme="minorEastAsia"/>
          <w:sz w:val="32"/>
          <w:szCs w:val="32"/>
          <w:lang w:eastAsia="zh-CN"/>
        </w:rPr>
        <w:t>民警参加省厅、市里开展的业务学习</w:t>
      </w:r>
      <w:r>
        <w:rPr>
          <w:rFonts w:hint="eastAsia" w:asciiTheme="minorEastAsia" w:hAnsiTheme="minorEastAsia" w:eastAsiaTheme="minorEastAsia"/>
          <w:sz w:val="32"/>
          <w:szCs w:val="32"/>
        </w:rPr>
        <w:t>培训</w:t>
      </w:r>
      <w:r>
        <w:rPr>
          <w:rFonts w:hint="eastAsia" w:asciiTheme="minorEastAsia" w:hAnsiTheme="minorEastAsia" w:eastAsiaTheme="minorEastAsia"/>
          <w:sz w:val="32"/>
          <w:szCs w:val="32"/>
          <w:lang w:val="en-US" w:eastAsia="zh-CN"/>
        </w:rPr>
        <w:t>,人数30人；未开支会议费；未举办晚会、论坛、赛事活动。</w:t>
      </w:r>
    </w:p>
    <w:p>
      <w:pPr>
        <w:pStyle w:val="11"/>
        <w:rPr>
          <w:rFonts w:hAnsi="黑体"/>
          <w:b/>
          <w:sz w:val="32"/>
          <w:szCs w:val="32"/>
        </w:rPr>
      </w:pPr>
      <w:r>
        <w:rPr>
          <w:rFonts w:hint="eastAsia" w:hAnsi="黑体"/>
          <w:b/>
          <w:sz w:val="32"/>
          <w:szCs w:val="32"/>
        </w:rPr>
        <w:t>十一、关于政府采购支出说明</w:t>
      </w:r>
    </w:p>
    <w:p>
      <w:pPr>
        <w:pStyle w:val="11"/>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本部门2020年度政府采购支出总额</w:t>
      </w:r>
      <w:r>
        <w:rPr>
          <w:rFonts w:hint="eastAsia" w:ascii="仿宋_GB2312" w:hAnsi="仿宋" w:eastAsia="仿宋_GB2312" w:cs="仿宋"/>
          <w:color w:val="000000"/>
          <w:sz w:val="32"/>
          <w:szCs w:val="32"/>
          <w:lang w:val="en-US" w:eastAsia="zh-CN"/>
        </w:rPr>
        <w:t>118.59</w:t>
      </w:r>
      <w:r>
        <w:rPr>
          <w:rFonts w:hint="eastAsia" w:asciiTheme="minorEastAsia" w:hAnsiTheme="minorEastAsia" w:eastAsiaTheme="minorEastAsia"/>
          <w:sz w:val="32"/>
          <w:szCs w:val="32"/>
        </w:rPr>
        <w:t>万元，其中：政府采购货物支出</w:t>
      </w:r>
      <w:r>
        <w:rPr>
          <w:rFonts w:hint="eastAsia" w:ascii="仿宋_GB2312" w:hAnsi="仿宋" w:eastAsia="仿宋_GB2312" w:cs="仿宋"/>
          <w:color w:val="000000"/>
          <w:sz w:val="32"/>
          <w:szCs w:val="32"/>
          <w:lang w:val="en-US" w:eastAsia="zh-CN"/>
        </w:rPr>
        <w:t>118.59</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82.81</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69.83</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十二、关于国有资产占用情况说明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截至2020年12月31日，本单位共有车辆</w:t>
      </w: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eastAsia="zh-CN"/>
        </w:rPr>
        <w:t>（一般公务用车）</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辆，其他用车主要是</w:t>
      </w:r>
      <w:r>
        <w:rPr>
          <w:rFonts w:hint="eastAsia" w:asciiTheme="minorEastAsia" w:hAnsiTheme="minorEastAsia" w:eastAsiaTheme="minorEastAsia"/>
          <w:sz w:val="32"/>
          <w:szCs w:val="32"/>
          <w:lang w:eastAsia="zh-CN"/>
        </w:rPr>
        <w:t>一般公务用车</w:t>
      </w:r>
      <w:r>
        <w:rPr>
          <w:rFonts w:hint="eastAsia" w:asciiTheme="minorEastAsia" w:hAnsiTheme="minorEastAsia" w:eastAsiaTheme="minorEastAsia"/>
          <w:sz w:val="32"/>
          <w:szCs w:val="32"/>
        </w:rPr>
        <w:t>；单位价值50万元以上通用设备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1"/>
        <w:rPr>
          <w:rFonts w:hAnsi="黑体"/>
          <w:b/>
          <w:sz w:val="32"/>
          <w:szCs w:val="32"/>
        </w:rPr>
      </w:pPr>
      <w:r>
        <w:rPr>
          <w:rFonts w:hint="eastAsia" w:hAnsi="黑体"/>
          <w:b/>
          <w:sz w:val="32"/>
          <w:szCs w:val="32"/>
        </w:rPr>
        <w:t>十三、关于2020年度预算绩效情况的说明</w:t>
      </w:r>
    </w:p>
    <w:p>
      <w:pPr>
        <w:pStyle w:val="11"/>
        <w:ind w:firstLine="960" w:firstLineChars="300"/>
        <w:rPr>
          <w:rFonts w:hint="default" w:asciiTheme="minorEastAsia" w:hAnsiTheme="minorEastAsia" w:eastAsiaTheme="minorEastAsia" w:cstheme="minorBidi"/>
          <w:color w:val="auto"/>
          <w:kern w:val="2"/>
          <w:sz w:val="32"/>
          <w:szCs w:val="32"/>
          <w:lang w:val="en-US" w:eastAsia="zh-CN" w:bidi="ar-SA"/>
        </w:rPr>
      </w:pPr>
      <w:r>
        <w:rPr>
          <w:rFonts w:hint="eastAsia" w:asciiTheme="minorEastAsia" w:hAnsiTheme="minorEastAsia" w:eastAsiaTheme="minorEastAsia" w:cstheme="minorBidi"/>
          <w:color w:val="auto"/>
          <w:kern w:val="2"/>
          <w:sz w:val="32"/>
          <w:szCs w:val="32"/>
          <w:lang w:val="en-US" w:eastAsia="zh-CN" w:bidi="ar-SA"/>
        </w:rPr>
        <w:t>本单位2020年度无重点项目绩效评价。2020年本部门整体支出和项目支出实行绩效目标管理，纳入2020年整体支出绩效的金额为</w:t>
      </w:r>
      <w:r>
        <w:rPr>
          <w:rFonts w:hint="eastAsia" w:asciiTheme="minorEastAsia" w:hAnsiTheme="minorEastAsia" w:eastAsiaTheme="minorEastAsia"/>
          <w:sz w:val="32"/>
          <w:szCs w:val="32"/>
          <w:lang w:val="en-US" w:eastAsia="zh-CN"/>
        </w:rPr>
        <w:t>1670.6</w:t>
      </w:r>
      <w:r>
        <w:rPr>
          <w:rFonts w:hint="eastAsia" w:asciiTheme="minorEastAsia" w:hAnsiTheme="minorEastAsia" w:eastAsiaTheme="minorEastAsia" w:cstheme="minorBidi"/>
          <w:color w:val="auto"/>
          <w:kern w:val="2"/>
          <w:sz w:val="32"/>
          <w:szCs w:val="32"/>
          <w:lang w:val="en-US" w:eastAsia="zh-CN" w:bidi="ar-SA"/>
        </w:rPr>
        <w:t>万元，其中，基本支出1296.2万元，项目支出374.4万元。</w:t>
      </w:r>
      <w:bookmarkStart w:id="3" w:name="_GoBack"/>
      <w:bookmarkEnd w:id="3"/>
    </w:p>
    <w:p>
      <w:pPr>
        <w:pStyle w:val="11"/>
        <w:rPr>
          <w:rFonts w:hAnsi="黑体"/>
          <w:b/>
          <w:sz w:val="32"/>
          <w:szCs w:val="3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widowControl/>
        <w:ind w:firstLine="660"/>
        <w:rPr>
          <w:rFonts w:hint="eastAsia" w:ascii="宋体" w:hAnsi="宋体" w:eastAsiaTheme="minorEastAsia"/>
          <w:color w:val="auto"/>
          <w:kern w:val="0"/>
          <w:sz w:val="32"/>
          <w:szCs w:val="32"/>
          <w:lang w:val="en-US" w:eastAsia="zh-CN"/>
        </w:rPr>
      </w:pPr>
      <w:r>
        <w:rPr>
          <w:rFonts w:hint="eastAsia" w:ascii="宋体" w:hAnsi="宋体"/>
          <w:color w:val="auto"/>
          <w:kern w:val="0"/>
          <w:sz w:val="32"/>
          <w:szCs w:val="32"/>
          <w:lang w:eastAsia="zh-CN"/>
        </w:rPr>
        <w:t>一、</w:t>
      </w:r>
      <w:r>
        <w:rPr>
          <w:rFonts w:hint="eastAsia" w:ascii="宋体" w:hAnsi="宋体"/>
          <w:color w:val="auto"/>
          <w:kern w:val="0"/>
          <w:sz w:val="32"/>
          <w:szCs w:val="32"/>
        </w:rPr>
        <w:t>一般公共预算拨款收入：指财政部门当年拨付的资金</w:t>
      </w:r>
      <w:r>
        <w:rPr>
          <w:rFonts w:hint="eastAsia" w:ascii="宋体" w:hAnsi="宋体"/>
          <w:color w:val="auto"/>
          <w:kern w:val="0"/>
          <w:sz w:val="32"/>
          <w:szCs w:val="32"/>
          <w:lang w:eastAsia="zh-CN"/>
        </w:rPr>
        <w:t>。</w:t>
      </w:r>
    </w:p>
    <w:p>
      <w:pPr>
        <w:widowControl/>
        <w:ind w:firstLine="660"/>
        <w:rPr>
          <w:rFonts w:hint="eastAsia" w:ascii="宋体" w:hAnsi="宋体"/>
          <w:color w:val="auto"/>
          <w:kern w:val="0"/>
          <w:sz w:val="32"/>
          <w:szCs w:val="32"/>
        </w:rPr>
      </w:pPr>
      <w:r>
        <w:rPr>
          <w:rFonts w:hint="eastAsia" w:ascii="宋体" w:hAnsi="宋体"/>
          <w:color w:val="auto"/>
          <w:kern w:val="0"/>
          <w:sz w:val="32"/>
          <w:szCs w:val="32"/>
          <w:lang w:val="en-US" w:eastAsia="zh-CN"/>
        </w:rPr>
        <w:t>二</w:t>
      </w:r>
      <w:r>
        <w:rPr>
          <w:rFonts w:hint="eastAsia" w:ascii="宋体" w:hAnsi="宋体"/>
          <w:color w:val="auto"/>
          <w:kern w:val="0"/>
          <w:sz w:val="32"/>
          <w:szCs w:val="32"/>
        </w:rPr>
        <w:t>、“三公”经费：纳入财政预算管理的“三公”经费，是指公安部门用财政拨款安排的因公出国</w:t>
      </w:r>
      <w:r>
        <w:rPr>
          <w:rFonts w:hint="eastAsia" w:ascii="宋体" w:hAnsi="宋体"/>
          <w:color w:val="auto"/>
          <w:kern w:val="0"/>
          <w:sz w:val="32"/>
          <w:szCs w:val="32"/>
          <w:lang w:eastAsia="zh-CN"/>
        </w:rPr>
        <w:t>（</w:t>
      </w:r>
      <w:r>
        <w:rPr>
          <w:rFonts w:hint="eastAsia" w:ascii="宋体" w:hAnsi="宋体"/>
          <w:color w:val="auto"/>
          <w:kern w:val="0"/>
          <w:sz w:val="32"/>
          <w:szCs w:val="32"/>
        </w:rPr>
        <w:t>境</w:t>
      </w:r>
      <w:r>
        <w:rPr>
          <w:rFonts w:hint="eastAsia" w:ascii="宋体" w:hAnsi="宋体"/>
          <w:color w:val="auto"/>
          <w:kern w:val="0"/>
          <w:sz w:val="32"/>
          <w:szCs w:val="32"/>
          <w:lang w:eastAsia="zh-CN"/>
        </w:rPr>
        <w:t>）</w:t>
      </w:r>
      <w:r>
        <w:rPr>
          <w:rFonts w:hint="eastAsia" w:ascii="宋体" w:hAnsi="宋体"/>
          <w:color w:val="auto"/>
          <w:kern w:val="0"/>
          <w:sz w:val="32"/>
          <w:szCs w:val="32"/>
        </w:rPr>
        <w:t>费、公务用车购置及运行费和公务接待费。</w:t>
      </w:r>
    </w:p>
    <w:p>
      <w:pPr>
        <w:widowControl/>
        <w:ind w:firstLine="660"/>
        <w:rPr>
          <w:rFonts w:hint="eastAsia" w:ascii="宋体" w:hAnsi="宋体"/>
          <w:color w:val="auto"/>
          <w:kern w:val="0"/>
          <w:sz w:val="32"/>
          <w:szCs w:val="32"/>
        </w:rPr>
      </w:pPr>
      <w:r>
        <w:rPr>
          <w:rFonts w:hint="eastAsia" w:ascii="宋体" w:hAnsi="宋体"/>
          <w:color w:val="auto"/>
          <w:kern w:val="0"/>
          <w:sz w:val="32"/>
          <w:szCs w:val="32"/>
          <w:lang w:val="en-US" w:eastAsia="zh-CN"/>
        </w:rPr>
        <w:t>三</w:t>
      </w:r>
      <w:r>
        <w:rPr>
          <w:rFonts w:hint="eastAsia" w:ascii="宋体" w:hAnsi="宋体"/>
          <w:color w:val="auto"/>
          <w:kern w:val="0"/>
          <w:sz w:val="32"/>
          <w:szCs w:val="32"/>
        </w:rPr>
        <w:t>、机关运行经费：为保障公安部门运行用于购买货物和服务的各项资金，包括办公及印刷费、邮电费、差旅费、会议费、福利费、日常维修费、专用材料及一般设备购置费、办公用房水电费、物业管理费、公务用车运行维护费以及其他商品服务支出。</w:t>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both"/>
        <w:rPr>
          <w:sz w:val="72"/>
          <w:szCs w:val="72"/>
        </w:rPr>
      </w:pPr>
    </w:p>
    <w:p>
      <w:pPr>
        <w:pStyle w:val="11"/>
        <w:jc w:val="both"/>
        <w:rPr>
          <w:sz w:val="72"/>
          <w:szCs w:val="72"/>
        </w:rPr>
      </w:pPr>
    </w:p>
    <w:p>
      <w:pPr>
        <w:pStyle w:val="11"/>
        <w:jc w:val="center"/>
        <w:rPr>
          <w:sz w:val="72"/>
          <w:szCs w:val="72"/>
        </w:rPr>
      </w:pPr>
    </w:p>
    <w:p>
      <w:pPr>
        <w:pStyle w:val="11"/>
        <w:jc w:val="center"/>
        <w:rPr>
          <w:sz w:val="72"/>
          <w:szCs w:val="72"/>
        </w:rPr>
      </w:pPr>
      <w:r>
        <w:rPr>
          <w:rFonts w:hint="eastAsia"/>
          <w:sz w:val="72"/>
          <w:szCs w:val="72"/>
          <w:lang w:val="en-US" w:eastAsia="zh-CN"/>
        </w:rPr>
        <w:t xml:space="preserve"> </w:t>
      </w:r>
      <w:r>
        <w:rPr>
          <w:rFonts w:hint="eastAsia"/>
          <w:sz w:val="72"/>
          <w:szCs w:val="72"/>
        </w:rPr>
        <w:t>第五部分</w:t>
      </w:r>
    </w:p>
    <w:p>
      <w:pPr>
        <w:jc w:val="center"/>
        <w:rPr>
          <w:rFonts w:ascii="黑体" w:eastAsia="黑体" w:cs="黑体"/>
          <w:color w:val="000000"/>
          <w:kern w:val="0"/>
          <w:sz w:val="70"/>
          <w:szCs w:val="70"/>
        </w:rPr>
      </w:pPr>
    </w:p>
    <w:p>
      <w:pPr>
        <w:pStyle w:val="11"/>
        <w:jc w:val="center"/>
        <w:rPr>
          <w:rFonts w:ascii="黑体" w:eastAsia="黑体" w:cs="黑体"/>
          <w:color w:val="000000"/>
          <w:kern w:val="0"/>
          <w:sz w:val="70"/>
          <w:szCs w:val="70"/>
        </w:rPr>
      </w:pPr>
      <w:r>
        <w:rPr>
          <w:rFonts w:hint="eastAsia" w:cs="黑体"/>
          <w:color w:val="000000"/>
          <w:kern w:val="0"/>
          <w:sz w:val="70"/>
          <w:szCs w:val="70"/>
          <w:lang w:eastAsia="zh-CN"/>
        </w:rPr>
        <w:t>附</w:t>
      </w:r>
      <w:r>
        <w:rPr>
          <w:rFonts w:hint="eastAsia" w:cs="黑体"/>
          <w:color w:val="000000"/>
          <w:kern w:val="0"/>
          <w:sz w:val="70"/>
          <w:szCs w:val="70"/>
          <w:lang w:val="en-US" w:eastAsia="zh-CN"/>
        </w:rPr>
        <w:t xml:space="preserve"> </w:t>
      </w:r>
      <w:r>
        <w:rPr>
          <w:rFonts w:hint="eastAsia" w:cs="黑体"/>
          <w:color w:val="000000"/>
          <w:kern w:val="0"/>
          <w:sz w:val="70"/>
          <w:szCs w:val="70"/>
          <w:lang w:eastAsia="zh-CN"/>
        </w:rPr>
        <w:t>件</w:t>
      </w:r>
      <w:r>
        <w:rPr>
          <w:rFonts w:ascii="黑体" w:eastAsia="黑体" w:cs="黑体"/>
          <w:color w:val="000000"/>
          <w:kern w:val="0"/>
          <w:sz w:val="70"/>
          <w:szCs w:val="70"/>
        </w:rPr>
        <w:br w:type="page"/>
      </w:r>
    </w:p>
    <w:p>
      <w:pPr>
        <w:spacing w:afterLines="100"/>
        <w:jc w:val="center"/>
        <w:rPr>
          <w:rFonts w:hint="eastAsia" w:ascii="宋体" w:hAnsi="宋体" w:eastAsia="宋体" w:cs="宋体"/>
          <w:b/>
          <w:sz w:val="36"/>
          <w:szCs w:val="36"/>
        </w:rPr>
      </w:pPr>
      <w:r>
        <w:rPr>
          <w:rFonts w:hint="eastAsia" w:ascii="宋体" w:hAnsi="宋体" w:eastAsia="宋体" w:cs="宋体"/>
          <w:b/>
          <w:sz w:val="36"/>
          <w:szCs w:val="36"/>
          <w:lang w:eastAsia="zh-CN"/>
        </w:rPr>
        <w:t>永州市</w:t>
      </w:r>
      <w:r>
        <w:rPr>
          <w:rFonts w:hint="eastAsia" w:ascii="宋体" w:hAnsi="宋体" w:cs="宋体"/>
          <w:b/>
          <w:sz w:val="36"/>
          <w:szCs w:val="36"/>
          <w:lang w:eastAsia="zh-CN"/>
        </w:rPr>
        <w:t>公安局金洞分局2020</w:t>
      </w:r>
      <w:r>
        <w:rPr>
          <w:rFonts w:hint="eastAsia" w:ascii="宋体" w:hAnsi="宋体" w:eastAsia="宋体" w:cs="宋体"/>
          <w:b/>
          <w:sz w:val="36"/>
          <w:szCs w:val="36"/>
        </w:rPr>
        <w:t>年度</w:t>
      </w:r>
    </w:p>
    <w:p>
      <w:pPr>
        <w:spacing w:afterLines="100"/>
        <w:jc w:val="center"/>
        <w:rPr>
          <w:rFonts w:hint="eastAsia" w:ascii="宋体" w:hAnsi="宋体" w:eastAsia="宋体" w:cs="宋体"/>
          <w:sz w:val="30"/>
          <w:szCs w:val="30"/>
        </w:rPr>
      </w:pPr>
      <w:r>
        <w:rPr>
          <w:rFonts w:hint="eastAsia" w:ascii="宋体" w:hAnsi="宋体" w:eastAsia="宋体" w:cs="宋体"/>
          <w:b/>
          <w:sz w:val="36"/>
          <w:szCs w:val="36"/>
        </w:rPr>
        <w:t>部门整体支出绩效自评报告</w:t>
      </w:r>
    </w:p>
    <w:p>
      <w:pPr>
        <w:spacing w:line="560" w:lineRule="exact"/>
        <w:ind w:firstLine="600" w:firstLineChars="200"/>
        <w:rPr>
          <w:rFonts w:hint="eastAsia" w:ascii="宋体" w:hAnsi="宋体" w:eastAsia="宋体" w:cs="宋体"/>
          <w:sz w:val="30"/>
          <w:szCs w:val="30"/>
        </w:rPr>
      </w:pPr>
      <w:r>
        <w:rPr>
          <w:rFonts w:hint="eastAsia" w:ascii="宋体" w:hAnsi="宋体" w:eastAsia="宋体" w:cs="宋体"/>
          <w:sz w:val="30"/>
          <w:szCs w:val="30"/>
        </w:rPr>
        <w:t>根据《关于</w:t>
      </w:r>
      <w:r>
        <w:rPr>
          <w:rFonts w:hint="eastAsia" w:ascii="宋体" w:hAnsi="宋体" w:cs="宋体"/>
          <w:sz w:val="30"/>
          <w:szCs w:val="30"/>
          <w:lang w:eastAsia="zh-CN"/>
        </w:rPr>
        <w:t>做好</w:t>
      </w:r>
      <w:r>
        <w:rPr>
          <w:rFonts w:hint="eastAsia" w:ascii="宋体" w:hAnsi="宋体" w:eastAsia="宋体" w:cs="宋体"/>
          <w:sz w:val="30"/>
          <w:szCs w:val="30"/>
        </w:rPr>
        <w:t>20</w:t>
      </w:r>
      <w:r>
        <w:rPr>
          <w:rFonts w:hint="eastAsia" w:ascii="宋体" w:hAnsi="宋体" w:eastAsia="宋体" w:cs="宋体"/>
          <w:sz w:val="30"/>
          <w:szCs w:val="30"/>
          <w:lang w:val="en-US" w:eastAsia="zh-CN"/>
        </w:rPr>
        <w:t>2</w:t>
      </w:r>
      <w:r>
        <w:rPr>
          <w:rFonts w:hint="eastAsia" w:ascii="宋体" w:hAnsi="宋体" w:cs="宋体"/>
          <w:sz w:val="30"/>
          <w:szCs w:val="30"/>
          <w:lang w:val="en-US" w:eastAsia="zh-CN"/>
        </w:rPr>
        <w:t>1</w:t>
      </w:r>
      <w:r>
        <w:rPr>
          <w:rFonts w:hint="eastAsia" w:ascii="宋体" w:hAnsi="宋体" w:eastAsia="宋体" w:cs="宋体"/>
          <w:sz w:val="30"/>
          <w:szCs w:val="30"/>
        </w:rPr>
        <w:t>年预算绩效目标</w:t>
      </w:r>
      <w:r>
        <w:rPr>
          <w:rFonts w:hint="eastAsia" w:ascii="宋体" w:hAnsi="宋体" w:cs="宋体"/>
          <w:sz w:val="30"/>
          <w:szCs w:val="30"/>
          <w:lang w:eastAsia="zh-CN"/>
        </w:rPr>
        <w:t>编审</w:t>
      </w:r>
      <w:r>
        <w:rPr>
          <w:rFonts w:hint="eastAsia" w:ascii="宋体" w:hAnsi="宋体" w:eastAsia="宋体" w:cs="宋体"/>
          <w:sz w:val="30"/>
          <w:szCs w:val="30"/>
        </w:rPr>
        <w:t>和</w:t>
      </w:r>
      <w:r>
        <w:rPr>
          <w:rFonts w:hint="eastAsia" w:ascii="宋体" w:hAnsi="宋体" w:cs="宋体"/>
          <w:sz w:val="30"/>
          <w:szCs w:val="30"/>
          <w:lang w:eastAsia="zh-CN"/>
        </w:rPr>
        <w:t>2020</w:t>
      </w:r>
      <w:r>
        <w:rPr>
          <w:rFonts w:hint="eastAsia" w:ascii="宋体" w:hAnsi="宋体" w:eastAsia="宋体" w:cs="宋体"/>
          <w:sz w:val="30"/>
          <w:szCs w:val="30"/>
        </w:rPr>
        <w:t>年度</w:t>
      </w:r>
      <w:r>
        <w:rPr>
          <w:rFonts w:hint="eastAsia" w:ascii="宋体" w:hAnsi="宋体" w:cs="宋体"/>
          <w:sz w:val="30"/>
          <w:szCs w:val="30"/>
          <w:lang w:eastAsia="zh-CN"/>
        </w:rPr>
        <w:t>财政支出</w:t>
      </w:r>
      <w:r>
        <w:rPr>
          <w:rFonts w:hint="eastAsia" w:ascii="宋体" w:hAnsi="宋体" w:eastAsia="宋体" w:cs="宋体"/>
          <w:sz w:val="30"/>
          <w:szCs w:val="30"/>
        </w:rPr>
        <w:t>绩效自评</w:t>
      </w:r>
      <w:r>
        <w:rPr>
          <w:rFonts w:hint="eastAsia" w:ascii="宋体" w:hAnsi="宋体" w:cs="宋体"/>
          <w:sz w:val="30"/>
          <w:szCs w:val="30"/>
          <w:lang w:eastAsia="zh-CN"/>
        </w:rPr>
        <w:t>工作</w:t>
      </w:r>
      <w:r>
        <w:rPr>
          <w:rFonts w:hint="eastAsia" w:ascii="宋体" w:hAnsi="宋体" w:eastAsia="宋体" w:cs="宋体"/>
          <w:sz w:val="30"/>
          <w:szCs w:val="30"/>
        </w:rPr>
        <w:t>的通知》（永财绩〔20</w:t>
      </w:r>
      <w:r>
        <w:rPr>
          <w:rFonts w:hint="eastAsia" w:ascii="宋体" w:hAnsi="宋体" w:eastAsia="宋体" w:cs="宋体"/>
          <w:sz w:val="30"/>
          <w:szCs w:val="30"/>
          <w:lang w:val="en-US" w:eastAsia="zh-CN"/>
        </w:rPr>
        <w:t>2</w:t>
      </w:r>
      <w:r>
        <w:rPr>
          <w:rFonts w:hint="eastAsia" w:ascii="宋体" w:hAnsi="宋体" w:cs="宋体"/>
          <w:sz w:val="30"/>
          <w:szCs w:val="30"/>
          <w:lang w:val="en-US" w:eastAsia="zh-CN"/>
        </w:rPr>
        <w:t>1</w:t>
      </w:r>
      <w:r>
        <w:rPr>
          <w:rFonts w:hint="eastAsia" w:ascii="宋体" w:hAnsi="宋体" w:eastAsia="宋体" w:cs="宋体"/>
          <w:sz w:val="30"/>
          <w:szCs w:val="30"/>
        </w:rPr>
        <w:t>〕1号）的文件精神</w:t>
      </w:r>
      <w:r>
        <w:rPr>
          <w:rFonts w:hint="eastAsia" w:ascii="宋体" w:hAnsi="宋体" w:cs="宋体"/>
          <w:sz w:val="30"/>
          <w:szCs w:val="30"/>
          <w:lang w:eastAsia="zh-CN"/>
        </w:rPr>
        <w:t>及《预算法》的相关规定</w:t>
      </w:r>
      <w:r>
        <w:rPr>
          <w:rFonts w:hint="eastAsia" w:ascii="宋体" w:hAnsi="宋体" w:eastAsia="宋体" w:cs="宋体"/>
          <w:sz w:val="30"/>
          <w:szCs w:val="30"/>
        </w:rPr>
        <w:t>，</w:t>
      </w:r>
      <w:r>
        <w:rPr>
          <w:rFonts w:hint="eastAsia" w:ascii="宋体" w:hAnsi="宋体" w:eastAsia="宋体" w:cs="宋体"/>
          <w:sz w:val="30"/>
          <w:szCs w:val="30"/>
          <w:lang w:eastAsia="zh-CN"/>
        </w:rPr>
        <w:t>本单位</w:t>
      </w:r>
      <w:r>
        <w:rPr>
          <w:rFonts w:hint="eastAsia" w:ascii="宋体" w:hAnsi="宋体" w:eastAsia="宋体" w:cs="宋体"/>
          <w:sz w:val="30"/>
          <w:szCs w:val="30"/>
        </w:rPr>
        <w:t>对</w:t>
      </w:r>
      <w:r>
        <w:rPr>
          <w:rFonts w:hint="eastAsia" w:ascii="宋体" w:hAnsi="宋体" w:cs="宋体"/>
          <w:sz w:val="30"/>
          <w:szCs w:val="30"/>
          <w:lang w:eastAsia="zh-CN"/>
        </w:rPr>
        <w:t>2020</w:t>
      </w:r>
      <w:r>
        <w:rPr>
          <w:rFonts w:hint="eastAsia" w:ascii="宋体" w:hAnsi="宋体" w:eastAsia="宋体" w:cs="宋体"/>
          <w:sz w:val="30"/>
          <w:szCs w:val="30"/>
        </w:rPr>
        <w:t>年度部门整体支出进行了绩效</w:t>
      </w:r>
      <w:r>
        <w:rPr>
          <w:rFonts w:hint="eastAsia" w:ascii="宋体" w:hAnsi="宋体" w:cs="宋体"/>
          <w:sz w:val="30"/>
          <w:szCs w:val="30"/>
          <w:lang w:eastAsia="zh-CN"/>
        </w:rPr>
        <w:t>自</w:t>
      </w:r>
      <w:r>
        <w:rPr>
          <w:rFonts w:hint="eastAsia" w:ascii="宋体" w:hAnsi="宋体" w:eastAsia="宋体" w:cs="宋体"/>
          <w:sz w:val="30"/>
          <w:szCs w:val="30"/>
        </w:rPr>
        <w:t>评，现报告如下：</w:t>
      </w:r>
    </w:p>
    <w:p>
      <w:pPr>
        <w:spacing w:line="560" w:lineRule="exact"/>
        <w:ind w:firstLine="600" w:firstLineChars="200"/>
        <w:rPr>
          <w:rFonts w:hint="eastAsia" w:ascii="宋体" w:hAnsi="宋体" w:eastAsia="宋体" w:cs="宋体"/>
          <w:b/>
          <w:sz w:val="30"/>
          <w:szCs w:val="30"/>
        </w:rPr>
      </w:pPr>
      <w:bookmarkStart w:id="2" w:name="YS060101"/>
      <w:r>
        <w:rPr>
          <w:rFonts w:hint="eastAsia" w:ascii="宋体" w:hAnsi="宋体" w:cs="宋体"/>
          <w:b/>
          <w:sz w:val="30"/>
          <w:szCs w:val="30"/>
          <w:lang w:eastAsia="zh-CN"/>
        </w:rPr>
        <w:t>一</w:t>
      </w:r>
      <w:r>
        <w:rPr>
          <w:rFonts w:hint="eastAsia" w:ascii="宋体" w:hAnsi="宋体" w:eastAsia="宋体" w:cs="宋体"/>
          <w:b/>
          <w:sz w:val="30"/>
          <w:szCs w:val="30"/>
        </w:rPr>
        <w:t>、部门（单位）</w:t>
      </w:r>
      <w:r>
        <w:rPr>
          <w:rFonts w:hint="eastAsia" w:ascii="宋体" w:hAnsi="宋体" w:cs="宋体"/>
          <w:b/>
          <w:sz w:val="30"/>
          <w:szCs w:val="30"/>
          <w:lang w:eastAsia="zh-CN"/>
        </w:rPr>
        <w:t>概</w:t>
      </w:r>
      <w:r>
        <w:rPr>
          <w:rFonts w:hint="eastAsia" w:ascii="宋体" w:hAnsi="宋体" w:eastAsia="宋体" w:cs="宋体"/>
          <w:b/>
          <w:sz w:val="30"/>
          <w:szCs w:val="30"/>
        </w:rPr>
        <w:t>况</w:t>
      </w:r>
    </w:p>
    <w:bookmarkEnd w:id="2"/>
    <w:p>
      <w:pPr>
        <w:spacing w:line="560" w:lineRule="exact"/>
        <w:ind w:firstLine="600" w:firstLineChars="200"/>
        <w:rPr>
          <w:rFonts w:hint="eastAsia" w:ascii="宋体" w:hAnsi="宋体" w:eastAsia="宋体" w:cs="宋体"/>
          <w:b/>
          <w:bCs/>
          <w:sz w:val="30"/>
          <w:szCs w:val="30"/>
        </w:rPr>
      </w:pPr>
      <w:r>
        <w:rPr>
          <w:rFonts w:hint="eastAsia" w:ascii="宋体" w:hAnsi="宋体" w:eastAsia="宋体" w:cs="宋体"/>
          <w:b/>
          <w:bCs/>
          <w:sz w:val="30"/>
          <w:szCs w:val="30"/>
        </w:rPr>
        <w:t>（一）基本情况。</w:t>
      </w:r>
    </w:p>
    <w:p>
      <w:pPr>
        <w:keepNext w:val="0"/>
        <w:keepLines w:val="0"/>
        <w:pageBreakBefore w:val="0"/>
        <w:kinsoku/>
        <w:wordWrap/>
        <w:overflowPunct/>
        <w:topLinePunct w:val="0"/>
        <w:bidi w:val="0"/>
        <w:snapToGrid/>
        <w:spacing w:line="50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1</w:t>
      </w:r>
      <w:r>
        <w:rPr>
          <w:rFonts w:hint="eastAsia" w:ascii="宋体" w:hAnsi="宋体" w:cs="宋体"/>
          <w:sz w:val="30"/>
          <w:szCs w:val="30"/>
          <w:lang w:eastAsia="zh-CN"/>
        </w:rPr>
        <w:t>、</w:t>
      </w:r>
      <w:r>
        <w:rPr>
          <w:rFonts w:hint="eastAsia" w:ascii="宋体" w:hAnsi="宋体" w:eastAsia="宋体" w:cs="宋体"/>
          <w:sz w:val="30"/>
          <w:szCs w:val="30"/>
        </w:rPr>
        <w:t>主要职能。依据《中华人民共和国宪法》、《人民警察法》、《刑法》、《治安管理处罚法》等法律法规，我局承担着维护国家安全，维护社会治安，保护公民的人身安全、人身自由和合法财产，保护公共财产，预防、制止和惩治违法犯罪活动，管理社会秩序，掌握、分析、研究敌情和社会治安状况，维护社会稳定，保障人民群众的安居乐业和社会主义现代化建设事业的顺利进行的职能。</w:t>
      </w:r>
    </w:p>
    <w:p>
      <w:pPr>
        <w:keepNext w:val="0"/>
        <w:keepLines w:val="0"/>
        <w:pageBreakBefore w:val="0"/>
        <w:kinsoku/>
        <w:wordWrap/>
        <w:overflowPunct/>
        <w:topLinePunct w:val="0"/>
        <w:bidi w:val="0"/>
        <w:snapToGrid/>
        <w:spacing w:line="500" w:lineRule="exact"/>
        <w:ind w:firstLine="640" w:firstLineChars="200"/>
        <w:textAlignment w:val="auto"/>
        <w:rPr>
          <w:rFonts w:hint="eastAsia" w:ascii="宋体" w:hAnsi="宋体" w:eastAsia="宋体" w:cs="宋体"/>
          <w:bCs/>
          <w:kern w:val="0"/>
          <w:sz w:val="32"/>
          <w:szCs w:val="32"/>
        </w:rPr>
      </w:pPr>
      <w:r>
        <w:rPr>
          <w:rFonts w:hint="eastAsia" w:ascii="宋体" w:hAnsi="宋体" w:cs="宋体"/>
          <w:bCs/>
          <w:kern w:val="0"/>
          <w:sz w:val="32"/>
          <w:szCs w:val="32"/>
          <w:lang w:val="en-US" w:eastAsia="zh-CN"/>
        </w:rPr>
        <w:t>2、</w:t>
      </w:r>
      <w:r>
        <w:rPr>
          <w:rFonts w:hint="eastAsia" w:ascii="宋体" w:hAnsi="宋体" w:eastAsia="宋体" w:cs="宋体"/>
          <w:bCs/>
          <w:kern w:val="0"/>
          <w:sz w:val="32"/>
          <w:szCs w:val="32"/>
        </w:rPr>
        <w:t>内设机构设置。内设机构</w:t>
      </w:r>
      <w:r>
        <w:rPr>
          <w:rFonts w:hint="eastAsia" w:ascii="宋体" w:hAnsi="宋体" w:eastAsia="宋体" w:cs="宋体"/>
          <w:bCs/>
          <w:kern w:val="0"/>
          <w:sz w:val="32"/>
          <w:szCs w:val="32"/>
          <w:lang w:eastAsia="zh-CN"/>
        </w:rPr>
        <w:t>七</w:t>
      </w:r>
      <w:r>
        <w:rPr>
          <w:rFonts w:hint="eastAsia" w:ascii="宋体" w:hAnsi="宋体" w:eastAsia="宋体" w:cs="宋体"/>
          <w:bCs/>
          <w:kern w:val="0"/>
          <w:sz w:val="32"/>
          <w:szCs w:val="32"/>
        </w:rPr>
        <w:t>个，包括指挥中心，刑侦大队，治安大队，森保大队，人口大队，法制网监室，政工纪检室；派出所</w:t>
      </w:r>
      <w:r>
        <w:rPr>
          <w:rFonts w:hint="eastAsia" w:ascii="宋体" w:hAnsi="宋体" w:eastAsia="宋体" w:cs="宋体"/>
          <w:bCs/>
          <w:kern w:val="0"/>
          <w:sz w:val="32"/>
          <w:szCs w:val="32"/>
          <w:lang w:eastAsia="zh-CN"/>
        </w:rPr>
        <w:t>五</w:t>
      </w:r>
      <w:r>
        <w:rPr>
          <w:rFonts w:hint="eastAsia" w:ascii="宋体" w:hAnsi="宋体" w:eastAsia="宋体" w:cs="宋体"/>
          <w:bCs/>
          <w:kern w:val="0"/>
          <w:sz w:val="32"/>
          <w:szCs w:val="32"/>
        </w:rPr>
        <w:t>个，包括金洞派出所，小金洞派出所，晒北滩派出所，石鼓源派出所，凤凰派出所。</w:t>
      </w:r>
    </w:p>
    <w:p>
      <w:pPr>
        <w:spacing w:line="560" w:lineRule="exact"/>
        <w:ind w:firstLine="600" w:firstLineChars="200"/>
        <w:rPr>
          <w:rFonts w:hint="eastAsia" w:ascii="宋体" w:hAnsi="宋体" w:eastAsia="宋体" w:cs="宋体"/>
          <w:b/>
          <w:bCs/>
          <w:sz w:val="30"/>
          <w:szCs w:val="30"/>
        </w:rPr>
      </w:pPr>
      <w:r>
        <w:rPr>
          <w:rFonts w:hint="eastAsia" w:ascii="宋体" w:hAnsi="宋体" w:eastAsia="宋体" w:cs="宋体"/>
          <w:b/>
          <w:bCs/>
          <w:sz w:val="30"/>
          <w:szCs w:val="30"/>
        </w:rPr>
        <w:t>（二）部门（单位）整体支出规模、使用方向和主要内容、涉及范围</w:t>
      </w:r>
    </w:p>
    <w:p>
      <w:pPr>
        <w:spacing w:line="560" w:lineRule="exact"/>
        <w:ind w:firstLine="600" w:firstLineChars="200"/>
        <w:rPr>
          <w:rFonts w:hint="default" w:ascii="Calibri" w:hAnsi="Calibri" w:eastAsia="宋体" w:cs="Times New Roman"/>
          <w:sz w:val="30"/>
          <w:szCs w:val="30"/>
          <w:lang w:val="en-US" w:eastAsia="zh-CN"/>
        </w:rPr>
      </w:pPr>
      <w:r>
        <w:rPr>
          <w:rFonts w:hint="eastAsia" w:ascii="宋体" w:hAnsi="宋体" w:eastAsia="宋体" w:cs="宋体"/>
          <w:sz w:val="30"/>
          <w:szCs w:val="30"/>
          <w:lang w:val="en-US" w:eastAsia="zh-CN"/>
        </w:rPr>
        <w:t>20</w:t>
      </w:r>
      <w:r>
        <w:rPr>
          <w:rFonts w:hint="eastAsia" w:ascii="宋体" w:hAnsi="宋体" w:cs="宋体"/>
          <w:sz w:val="30"/>
          <w:szCs w:val="30"/>
          <w:lang w:val="en-US" w:eastAsia="zh-CN"/>
        </w:rPr>
        <w:t>20</w:t>
      </w:r>
      <w:r>
        <w:rPr>
          <w:rFonts w:hint="eastAsia" w:ascii="宋体" w:hAnsi="宋体" w:eastAsia="宋体" w:cs="宋体"/>
          <w:sz w:val="30"/>
          <w:szCs w:val="30"/>
          <w:lang w:val="en-US" w:eastAsia="zh-CN"/>
        </w:rPr>
        <w:t>年，本单位</w:t>
      </w:r>
      <w:r>
        <w:rPr>
          <w:rFonts w:hint="eastAsia" w:ascii="宋体" w:hAnsi="宋体" w:cs="宋体"/>
          <w:sz w:val="30"/>
          <w:szCs w:val="30"/>
          <w:lang w:val="en-US" w:eastAsia="zh-CN"/>
        </w:rPr>
        <w:t>预算收入1221.25万元，</w:t>
      </w:r>
      <w:r>
        <w:rPr>
          <w:rFonts w:hint="eastAsia" w:ascii="宋体" w:hAnsi="宋体" w:eastAsia="宋体" w:cs="宋体"/>
          <w:sz w:val="30"/>
          <w:szCs w:val="30"/>
          <w:lang w:val="en-US" w:eastAsia="zh-CN"/>
        </w:rPr>
        <w:t>全年</w:t>
      </w:r>
      <w:r>
        <w:rPr>
          <w:rFonts w:hint="eastAsia" w:ascii="宋体" w:hAnsi="宋体" w:cs="宋体"/>
          <w:sz w:val="30"/>
          <w:szCs w:val="30"/>
          <w:lang w:val="en-US" w:eastAsia="zh-CN"/>
        </w:rPr>
        <w:t>实际</w:t>
      </w:r>
      <w:r>
        <w:rPr>
          <w:rFonts w:hint="eastAsia" w:ascii="宋体" w:hAnsi="宋体" w:eastAsia="宋体" w:cs="宋体"/>
          <w:sz w:val="30"/>
          <w:szCs w:val="30"/>
          <w:lang w:val="en-US" w:eastAsia="zh-CN"/>
        </w:rPr>
        <w:t>总收入为</w:t>
      </w:r>
      <w:r>
        <w:rPr>
          <w:rFonts w:hint="eastAsia" w:ascii="宋体" w:hAnsi="宋体" w:cs="宋体"/>
          <w:sz w:val="30"/>
          <w:szCs w:val="30"/>
          <w:lang w:val="en-US" w:eastAsia="zh-CN"/>
        </w:rPr>
        <w:t>1569.12</w:t>
      </w:r>
      <w:r>
        <w:rPr>
          <w:rFonts w:hint="eastAsia" w:ascii="宋体" w:hAnsi="宋体" w:eastAsia="宋体" w:cs="宋体"/>
          <w:sz w:val="30"/>
          <w:szCs w:val="30"/>
          <w:lang w:val="en-US" w:eastAsia="zh-CN"/>
        </w:rPr>
        <w:t>万元，其中</w:t>
      </w:r>
      <w:r>
        <w:rPr>
          <w:rFonts w:hint="eastAsia" w:ascii="宋体" w:hAnsi="宋体" w:cs="宋体"/>
          <w:sz w:val="30"/>
          <w:szCs w:val="30"/>
          <w:lang w:val="en-US" w:eastAsia="zh-CN"/>
        </w:rPr>
        <w:t>：</w:t>
      </w:r>
      <w:r>
        <w:rPr>
          <w:rFonts w:hint="eastAsia" w:ascii="宋体" w:hAnsi="宋体" w:eastAsia="宋体" w:cs="宋体"/>
          <w:sz w:val="30"/>
          <w:szCs w:val="30"/>
          <w:lang w:val="en-US" w:eastAsia="zh-CN"/>
        </w:rPr>
        <w:t>财政拨款收入</w:t>
      </w:r>
      <w:r>
        <w:rPr>
          <w:rFonts w:hint="eastAsia" w:ascii="宋体" w:hAnsi="宋体" w:cs="宋体"/>
          <w:sz w:val="30"/>
          <w:szCs w:val="30"/>
          <w:lang w:val="en-US" w:eastAsia="zh-CN"/>
        </w:rPr>
        <w:t>1363.19</w:t>
      </w:r>
      <w:r>
        <w:rPr>
          <w:rFonts w:hint="eastAsia" w:ascii="宋体" w:hAnsi="宋体" w:eastAsia="宋体" w:cs="宋体"/>
          <w:sz w:val="30"/>
          <w:szCs w:val="30"/>
          <w:lang w:val="en-US" w:eastAsia="zh-CN"/>
        </w:rPr>
        <w:t>万元</w:t>
      </w:r>
      <w:r>
        <w:rPr>
          <w:rFonts w:hint="eastAsia" w:ascii="宋体" w:hAnsi="宋体" w:cs="宋体"/>
          <w:sz w:val="30"/>
          <w:szCs w:val="30"/>
          <w:lang w:val="en-US" w:eastAsia="zh-CN"/>
        </w:rPr>
        <w:t>（超过预算的141.94万元主要是人员工资调整与社保单位部分收入），其他资金收入205.93万元；</w:t>
      </w:r>
      <w:r>
        <w:rPr>
          <w:rFonts w:hint="eastAsia" w:ascii="宋体" w:hAnsi="宋体" w:eastAsia="宋体" w:cs="宋体"/>
          <w:sz w:val="30"/>
          <w:szCs w:val="30"/>
          <w:lang w:val="en-US" w:eastAsia="zh-CN"/>
        </w:rPr>
        <w:t>本年总支出</w:t>
      </w:r>
      <w:r>
        <w:rPr>
          <w:rFonts w:hint="eastAsia" w:ascii="宋体" w:hAnsi="宋体" w:cs="宋体"/>
          <w:sz w:val="30"/>
          <w:szCs w:val="30"/>
          <w:lang w:val="en-US" w:eastAsia="zh-CN"/>
        </w:rPr>
        <w:t>1670.6</w:t>
      </w:r>
      <w:r>
        <w:rPr>
          <w:rFonts w:hint="eastAsia" w:ascii="宋体" w:hAnsi="宋体" w:eastAsia="宋体" w:cs="宋体"/>
          <w:sz w:val="30"/>
          <w:szCs w:val="30"/>
          <w:lang w:val="en-US" w:eastAsia="zh-CN"/>
        </w:rPr>
        <w:t>万元，其中：基本支出</w:t>
      </w:r>
      <w:r>
        <w:rPr>
          <w:rFonts w:hint="eastAsia" w:ascii="宋体" w:hAnsi="宋体" w:cs="宋体"/>
          <w:sz w:val="30"/>
          <w:szCs w:val="30"/>
          <w:lang w:val="en-US" w:eastAsia="zh-CN"/>
        </w:rPr>
        <w:t>1296.20</w:t>
      </w:r>
      <w:r>
        <w:rPr>
          <w:rFonts w:hint="eastAsia" w:ascii="宋体" w:hAnsi="宋体" w:eastAsia="宋体" w:cs="宋体"/>
          <w:sz w:val="30"/>
          <w:szCs w:val="30"/>
          <w:lang w:val="en-US" w:eastAsia="zh-CN"/>
        </w:rPr>
        <w:t>万元</w:t>
      </w:r>
      <w:r>
        <w:rPr>
          <w:rFonts w:hint="eastAsia" w:ascii="宋体" w:hAnsi="宋体" w:cs="宋体"/>
          <w:sz w:val="30"/>
          <w:szCs w:val="30"/>
          <w:lang w:val="en-US" w:eastAsia="zh-CN"/>
        </w:rPr>
        <w:t>，项目支出374.4万元，</w:t>
      </w:r>
      <w:r>
        <w:rPr>
          <w:rFonts w:hint="eastAsia" w:ascii="宋体" w:hAnsi="宋体" w:eastAsia="宋体" w:cs="宋体"/>
          <w:sz w:val="30"/>
          <w:szCs w:val="30"/>
          <w:lang w:val="en-US" w:eastAsia="zh-CN"/>
        </w:rPr>
        <w:t>本年无结余。</w:t>
      </w:r>
      <w:r>
        <w:rPr>
          <w:rFonts w:hint="eastAsia" w:ascii="宋体" w:hAnsi="宋体" w:cs="宋体"/>
          <w:sz w:val="30"/>
          <w:szCs w:val="30"/>
          <w:lang w:val="en-US" w:eastAsia="zh-CN"/>
        </w:rPr>
        <w:t>本</w:t>
      </w:r>
      <w:r>
        <w:rPr>
          <w:rFonts w:hint="eastAsia" w:ascii="宋体" w:hAnsi="宋体" w:eastAsia="宋体" w:cs="宋体"/>
          <w:sz w:val="30"/>
          <w:szCs w:val="30"/>
          <w:lang w:val="en-US" w:eastAsia="zh-CN"/>
        </w:rPr>
        <w:t>单位整体支出的主要内容及方向：一是</w:t>
      </w:r>
      <w:r>
        <w:rPr>
          <w:rFonts w:hint="default" w:ascii="宋体" w:hAnsi="宋体" w:eastAsia="宋体" w:cs="宋体"/>
          <w:sz w:val="30"/>
          <w:szCs w:val="30"/>
          <w:lang w:val="en-US" w:eastAsia="zh-CN"/>
        </w:rPr>
        <w:t>保障</w:t>
      </w:r>
      <w:r>
        <w:rPr>
          <w:rFonts w:hint="eastAsia" w:ascii="宋体" w:hAnsi="宋体" w:eastAsia="宋体" w:cs="宋体"/>
          <w:sz w:val="30"/>
          <w:szCs w:val="30"/>
          <w:lang w:val="en-US" w:eastAsia="zh-CN"/>
        </w:rPr>
        <w:t>单位</w:t>
      </w:r>
      <w:r>
        <w:rPr>
          <w:rFonts w:hint="default" w:ascii="宋体" w:hAnsi="宋体" w:eastAsia="宋体" w:cs="宋体"/>
          <w:sz w:val="30"/>
          <w:szCs w:val="30"/>
          <w:lang w:val="en-US" w:eastAsia="zh-CN"/>
        </w:rPr>
        <w:t>正常运转</w:t>
      </w:r>
      <w:r>
        <w:rPr>
          <w:rFonts w:hint="eastAsia" w:ascii="宋体" w:hAnsi="宋体" w:cs="宋体"/>
          <w:sz w:val="30"/>
          <w:szCs w:val="30"/>
          <w:lang w:val="en-US" w:eastAsia="zh-CN"/>
        </w:rPr>
        <w:t>及人员工资正常发放等支出</w:t>
      </w:r>
      <w:r>
        <w:rPr>
          <w:rFonts w:hint="default" w:ascii="宋体" w:hAnsi="宋体" w:eastAsia="宋体" w:cs="宋体"/>
          <w:sz w:val="30"/>
          <w:szCs w:val="30"/>
          <w:lang w:val="en-US" w:eastAsia="zh-CN"/>
        </w:rPr>
        <w:t>，</w:t>
      </w:r>
      <w:r>
        <w:rPr>
          <w:rFonts w:hint="eastAsia" w:ascii="宋体" w:hAnsi="宋体" w:eastAsia="宋体" w:cs="宋体"/>
          <w:sz w:val="30"/>
          <w:szCs w:val="30"/>
          <w:lang w:val="en-US" w:eastAsia="zh-CN"/>
        </w:rPr>
        <w:t>全年人员经费支出</w:t>
      </w:r>
      <w:r>
        <w:rPr>
          <w:rFonts w:hint="eastAsia" w:ascii="宋体" w:hAnsi="宋体" w:cs="宋体"/>
          <w:sz w:val="30"/>
          <w:szCs w:val="30"/>
          <w:lang w:val="en-US" w:eastAsia="zh-CN"/>
        </w:rPr>
        <w:t>1126.06</w:t>
      </w:r>
      <w:r>
        <w:rPr>
          <w:rFonts w:hint="eastAsia" w:ascii="宋体" w:hAnsi="宋体" w:eastAsia="宋体" w:cs="宋体"/>
          <w:sz w:val="30"/>
          <w:szCs w:val="30"/>
          <w:lang w:val="en-US" w:eastAsia="zh-CN"/>
        </w:rPr>
        <w:t>万元，公用经费支出</w:t>
      </w:r>
      <w:r>
        <w:rPr>
          <w:rFonts w:hint="eastAsia" w:ascii="宋体" w:hAnsi="宋体" w:cs="宋体"/>
          <w:sz w:val="30"/>
          <w:szCs w:val="30"/>
          <w:lang w:val="en-US" w:eastAsia="zh-CN"/>
        </w:rPr>
        <w:t>170.15</w:t>
      </w:r>
      <w:r>
        <w:rPr>
          <w:rFonts w:hint="eastAsia" w:ascii="宋体" w:hAnsi="宋体" w:eastAsia="宋体" w:cs="宋体"/>
          <w:sz w:val="30"/>
          <w:szCs w:val="30"/>
          <w:lang w:val="en-US" w:eastAsia="zh-CN"/>
        </w:rPr>
        <w:t>万元；二是</w:t>
      </w:r>
      <w:r>
        <w:rPr>
          <w:rFonts w:hint="eastAsia" w:ascii="宋体" w:hAnsi="宋体" w:cs="宋体"/>
          <w:sz w:val="30"/>
          <w:szCs w:val="30"/>
          <w:lang w:val="en-US" w:eastAsia="zh-CN"/>
        </w:rPr>
        <w:t>中央省级政府转移支付资金支出及其他支出374.4万元。如按经济分类</w:t>
      </w:r>
      <w:r>
        <w:rPr>
          <w:rFonts w:hint="eastAsia" w:ascii="Calibri" w:hAnsi="Calibri" w:eastAsia="宋体" w:cs="Times New Roman"/>
          <w:sz w:val="30"/>
          <w:szCs w:val="30"/>
        </w:rPr>
        <w:t>其中工资福利支出</w:t>
      </w:r>
      <w:r>
        <w:rPr>
          <w:rFonts w:hint="eastAsia" w:ascii="Calibri" w:hAnsi="Calibri" w:cs="Times New Roman"/>
          <w:sz w:val="30"/>
          <w:szCs w:val="30"/>
          <w:lang w:val="en-US" w:eastAsia="zh-CN"/>
        </w:rPr>
        <w:t>1070.54</w:t>
      </w:r>
      <w:r>
        <w:rPr>
          <w:rFonts w:hint="eastAsia" w:ascii="Calibri" w:hAnsi="Calibri" w:eastAsia="宋体" w:cs="Times New Roman"/>
          <w:sz w:val="30"/>
          <w:szCs w:val="30"/>
        </w:rPr>
        <w:t>万元，商品和服务支出</w:t>
      </w:r>
      <w:r>
        <w:rPr>
          <w:rFonts w:hint="eastAsia" w:ascii="Calibri" w:hAnsi="Calibri" w:cs="Times New Roman"/>
          <w:sz w:val="30"/>
          <w:szCs w:val="30"/>
          <w:lang w:val="en-US" w:eastAsia="zh-CN"/>
        </w:rPr>
        <w:t>287.62</w:t>
      </w:r>
      <w:r>
        <w:rPr>
          <w:rFonts w:hint="eastAsia" w:ascii="Calibri" w:hAnsi="Calibri" w:eastAsia="宋体" w:cs="Times New Roman"/>
          <w:sz w:val="30"/>
          <w:szCs w:val="30"/>
        </w:rPr>
        <w:t>万元，对个人和家庭的补助支出</w:t>
      </w:r>
      <w:r>
        <w:rPr>
          <w:rFonts w:hint="eastAsia" w:ascii="Calibri" w:hAnsi="Calibri" w:cs="Times New Roman"/>
          <w:sz w:val="30"/>
          <w:szCs w:val="30"/>
          <w:lang w:val="en-US" w:eastAsia="zh-CN"/>
        </w:rPr>
        <w:t>55.52</w:t>
      </w:r>
      <w:r>
        <w:rPr>
          <w:rFonts w:hint="eastAsia" w:ascii="Calibri" w:hAnsi="Calibri" w:eastAsia="宋体" w:cs="Times New Roman"/>
          <w:sz w:val="30"/>
          <w:szCs w:val="30"/>
        </w:rPr>
        <w:t>万元</w:t>
      </w:r>
      <w:r>
        <w:rPr>
          <w:rFonts w:hint="eastAsia" w:ascii="Calibri" w:hAnsi="Calibri" w:cs="Times New Roman"/>
          <w:sz w:val="30"/>
          <w:szCs w:val="30"/>
          <w:lang w:eastAsia="zh-CN"/>
        </w:rPr>
        <w:t>，资本性支出</w:t>
      </w:r>
      <w:r>
        <w:rPr>
          <w:rFonts w:hint="eastAsia" w:ascii="Calibri" w:hAnsi="Calibri" w:cs="Times New Roman"/>
          <w:sz w:val="30"/>
          <w:szCs w:val="30"/>
          <w:lang w:val="en-US" w:eastAsia="zh-CN"/>
        </w:rPr>
        <w:t>256.92万元。</w:t>
      </w:r>
    </w:p>
    <w:p>
      <w:pPr>
        <w:spacing w:line="560" w:lineRule="exact"/>
        <w:ind w:firstLine="600" w:firstLineChars="200"/>
        <w:rPr>
          <w:rFonts w:hint="eastAsia" w:ascii="宋体" w:hAnsi="宋体" w:eastAsia="宋体" w:cs="宋体"/>
          <w:b/>
          <w:bCs/>
          <w:sz w:val="30"/>
          <w:szCs w:val="30"/>
          <w:lang w:val="en-US" w:eastAsia="zh-CN"/>
        </w:rPr>
      </w:pPr>
      <w:r>
        <w:rPr>
          <w:rFonts w:hint="eastAsia" w:ascii="宋体" w:hAnsi="宋体" w:cs="宋体"/>
          <w:b/>
          <w:bCs/>
          <w:sz w:val="30"/>
          <w:szCs w:val="30"/>
          <w:lang w:val="en-US" w:eastAsia="zh-CN"/>
        </w:rPr>
        <w:t>三、</w:t>
      </w:r>
      <w:r>
        <w:rPr>
          <w:rFonts w:hint="eastAsia" w:ascii="宋体" w:hAnsi="宋体" w:eastAsia="宋体" w:cs="宋体"/>
          <w:b/>
          <w:bCs/>
          <w:sz w:val="30"/>
          <w:szCs w:val="30"/>
          <w:lang w:val="en-US" w:eastAsia="zh-CN"/>
        </w:rPr>
        <w:t>部门</w:t>
      </w:r>
      <w:r>
        <w:rPr>
          <w:rFonts w:hint="eastAsia" w:ascii="宋体" w:hAnsi="宋体" w:cs="宋体"/>
          <w:b/>
          <w:bCs/>
          <w:sz w:val="30"/>
          <w:szCs w:val="30"/>
          <w:lang w:val="en-US" w:eastAsia="zh-CN"/>
        </w:rPr>
        <w:t>（单位）</w:t>
      </w:r>
      <w:r>
        <w:rPr>
          <w:rFonts w:hint="eastAsia" w:ascii="宋体" w:hAnsi="宋体" w:eastAsia="宋体" w:cs="宋体"/>
          <w:b/>
          <w:bCs/>
          <w:sz w:val="30"/>
          <w:szCs w:val="30"/>
          <w:lang w:val="en-US" w:eastAsia="zh-CN"/>
        </w:rPr>
        <w:t>整体支出管理及使用情况</w:t>
      </w:r>
    </w:p>
    <w:p>
      <w:pPr>
        <w:keepNext w:val="0"/>
        <w:keepLines w:val="0"/>
        <w:pageBreakBefore w:val="0"/>
        <w:kinsoku/>
        <w:wordWrap/>
        <w:overflowPunct/>
        <w:topLinePunct w:val="0"/>
        <w:bidi w:val="0"/>
        <w:snapToGrid/>
        <w:spacing w:line="500" w:lineRule="exact"/>
        <w:ind w:firstLine="600" w:firstLineChars="200"/>
        <w:textAlignment w:val="auto"/>
        <w:rPr>
          <w:rFonts w:hint="default" w:ascii="仿宋_GB2312" w:hAnsi="仿宋_GB2312" w:eastAsia="仿宋_GB2312" w:cs="仿宋_GB2312"/>
          <w:bCs/>
          <w:sz w:val="28"/>
          <w:szCs w:val="28"/>
          <w:lang w:val="en-US" w:eastAsia="zh-CN"/>
        </w:rPr>
      </w:pPr>
      <w:r>
        <w:rPr>
          <w:rFonts w:hint="eastAsia" w:ascii="宋体" w:hAnsi="宋体" w:eastAsia="宋体" w:cs="宋体"/>
          <w:sz w:val="30"/>
          <w:szCs w:val="30"/>
          <w:lang w:val="en-US" w:eastAsia="zh-CN"/>
        </w:rPr>
        <w:t>20</w:t>
      </w:r>
      <w:r>
        <w:rPr>
          <w:rFonts w:hint="eastAsia" w:ascii="宋体" w:hAnsi="宋体" w:cs="宋体"/>
          <w:sz w:val="30"/>
          <w:szCs w:val="30"/>
          <w:lang w:val="en-US" w:eastAsia="zh-CN"/>
        </w:rPr>
        <w:t>20</w:t>
      </w:r>
      <w:r>
        <w:rPr>
          <w:rFonts w:hint="eastAsia" w:ascii="宋体" w:hAnsi="宋体" w:eastAsia="宋体" w:cs="宋体"/>
          <w:sz w:val="30"/>
          <w:szCs w:val="30"/>
          <w:lang w:val="en-US" w:eastAsia="zh-CN"/>
        </w:rPr>
        <w:t>年度财政拨款总支出</w:t>
      </w:r>
      <w:r>
        <w:rPr>
          <w:rFonts w:hint="eastAsia" w:ascii="宋体" w:hAnsi="宋体" w:cs="宋体"/>
          <w:sz w:val="30"/>
          <w:szCs w:val="30"/>
          <w:lang w:val="en-US" w:eastAsia="zh-CN"/>
        </w:rPr>
        <w:t>1670.6</w:t>
      </w:r>
      <w:r>
        <w:rPr>
          <w:rFonts w:hint="eastAsia" w:ascii="宋体" w:hAnsi="宋体" w:eastAsia="宋体" w:cs="宋体"/>
          <w:sz w:val="30"/>
          <w:szCs w:val="30"/>
          <w:lang w:val="en-US" w:eastAsia="zh-CN"/>
        </w:rPr>
        <w:t>万元，其中：人员经费</w:t>
      </w:r>
      <w:r>
        <w:rPr>
          <w:rFonts w:hint="eastAsia" w:ascii="宋体" w:hAnsi="宋体" w:cs="宋体"/>
          <w:sz w:val="30"/>
          <w:szCs w:val="30"/>
          <w:lang w:val="en-US" w:eastAsia="zh-CN"/>
        </w:rPr>
        <w:t>1126.06</w:t>
      </w:r>
      <w:r>
        <w:rPr>
          <w:rFonts w:hint="eastAsia" w:ascii="宋体" w:hAnsi="宋体" w:eastAsia="宋体" w:cs="宋体"/>
          <w:sz w:val="30"/>
          <w:szCs w:val="30"/>
          <w:lang w:val="en-US" w:eastAsia="zh-CN"/>
        </w:rPr>
        <w:t>万元，占基本支出的</w:t>
      </w:r>
      <w:r>
        <w:rPr>
          <w:rFonts w:hint="eastAsia" w:ascii="宋体" w:hAnsi="宋体" w:cs="宋体"/>
          <w:sz w:val="30"/>
          <w:szCs w:val="30"/>
          <w:lang w:val="en-US" w:eastAsia="zh-CN"/>
        </w:rPr>
        <w:t>67.40</w:t>
      </w:r>
      <w:r>
        <w:rPr>
          <w:rFonts w:hint="eastAsia" w:ascii="宋体" w:hAnsi="宋体" w:eastAsia="宋体" w:cs="宋体"/>
          <w:sz w:val="30"/>
          <w:szCs w:val="30"/>
          <w:lang w:val="en-US" w:eastAsia="zh-CN"/>
        </w:rPr>
        <w:t>%,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公用经费</w:t>
      </w:r>
      <w:r>
        <w:rPr>
          <w:rFonts w:hint="eastAsia" w:ascii="宋体" w:hAnsi="宋体" w:cs="宋体"/>
          <w:sz w:val="30"/>
          <w:szCs w:val="30"/>
          <w:lang w:val="en-US" w:eastAsia="zh-CN"/>
        </w:rPr>
        <w:t>170.15</w:t>
      </w:r>
      <w:r>
        <w:rPr>
          <w:rFonts w:hint="eastAsia" w:ascii="宋体" w:hAnsi="宋体" w:eastAsia="宋体" w:cs="宋体"/>
          <w:sz w:val="30"/>
          <w:szCs w:val="30"/>
          <w:lang w:val="en-US" w:eastAsia="zh-CN"/>
        </w:rPr>
        <w:t>万元，占基本支出的</w:t>
      </w:r>
      <w:r>
        <w:rPr>
          <w:rFonts w:hint="eastAsia" w:ascii="宋体" w:hAnsi="宋体" w:cs="宋体"/>
          <w:sz w:val="30"/>
          <w:szCs w:val="30"/>
          <w:lang w:val="en-US" w:eastAsia="zh-CN"/>
        </w:rPr>
        <w:t>10.18</w:t>
      </w:r>
      <w:r>
        <w:rPr>
          <w:rFonts w:hint="eastAsia" w:ascii="宋体" w:hAnsi="宋体" w:eastAsia="宋体" w:cs="宋体"/>
          <w:sz w:val="30"/>
          <w:szCs w:val="30"/>
          <w:lang w:val="en-US" w:eastAsia="zh-CN"/>
        </w:rPr>
        <w:t>%，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其他商品和服务支出</w:t>
      </w:r>
      <w:r>
        <w:rPr>
          <w:rFonts w:hint="eastAsia" w:ascii="宋体" w:hAnsi="宋体" w:cs="宋体"/>
          <w:sz w:val="30"/>
          <w:szCs w:val="30"/>
          <w:lang w:val="en-US" w:eastAsia="zh-CN"/>
        </w:rPr>
        <w:t>等；其他支出374.39万元</w:t>
      </w:r>
      <w:r>
        <w:rPr>
          <w:rFonts w:hint="eastAsia" w:ascii="宋体" w:hAnsi="宋体" w:eastAsia="宋体" w:cs="宋体"/>
          <w:sz w:val="30"/>
          <w:szCs w:val="30"/>
          <w:lang w:val="en-US" w:eastAsia="zh-CN"/>
        </w:rPr>
        <w:t>。</w:t>
      </w:r>
    </w:p>
    <w:p>
      <w:pPr>
        <w:spacing w:line="560" w:lineRule="exact"/>
        <w:ind w:firstLine="600" w:firstLineChars="200"/>
        <w:rPr>
          <w:rFonts w:hint="eastAsia" w:ascii="宋体" w:hAnsi="宋体" w:eastAsia="宋体" w:cs="宋体"/>
          <w:sz w:val="30"/>
          <w:szCs w:val="30"/>
        </w:rPr>
      </w:pPr>
      <w:r>
        <w:rPr>
          <w:rFonts w:hint="eastAsia" w:ascii="宋体" w:hAnsi="宋体" w:eastAsia="宋体" w:cs="宋体"/>
          <w:b/>
          <w:sz w:val="30"/>
          <w:szCs w:val="30"/>
        </w:rPr>
        <w:t>四、部门（单位）整体支出绩效情况 </w:t>
      </w:r>
    </w:p>
    <w:p>
      <w:pPr>
        <w:spacing w:line="560" w:lineRule="exact"/>
        <w:ind w:firstLine="600" w:firstLineChars="200"/>
        <w:rPr>
          <w:rFonts w:hint="eastAsia" w:ascii="宋体" w:hAnsi="宋体" w:eastAsia="宋体" w:cs="宋体"/>
          <w:sz w:val="30"/>
          <w:szCs w:val="30"/>
        </w:rPr>
      </w:pPr>
      <w:r>
        <w:rPr>
          <w:rFonts w:hint="eastAsia" w:ascii="宋体" w:hAnsi="宋体" w:eastAsia="宋体" w:cs="宋体"/>
          <w:sz w:val="30"/>
          <w:szCs w:val="30"/>
        </w:rPr>
        <w:t>（一）预算配置方面</w:t>
      </w:r>
    </w:p>
    <w:p>
      <w:pPr>
        <w:spacing w:line="560" w:lineRule="exact"/>
        <w:ind w:firstLine="600" w:firstLineChars="200"/>
        <w:rPr>
          <w:rFonts w:hint="eastAsia" w:ascii="宋体" w:hAnsi="宋体" w:eastAsia="宋体" w:cs="宋体"/>
          <w:sz w:val="30"/>
          <w:szCs w:val="30"/>
        </w:rPr>
      </w:pPr>
      <w:r>
        <w:rPr>
          <w:rFonts w:hint="eastAsia" w:ascii="宋体" w:hAnsi="宋体" w:eastAsia="宋体" w:cs="宋体"/>
          <w:sz w:val="30"/>
          <w:szCs w:val="30"/>
        </w:rPr>
        <w:t>编制数</w:t>
      </w:r>
      <w:r>
        <w:rPr>
          <w:rFonts w:hint="eastAsia" w:ascii="宋体" w:hAnsi="宋体" w:cs="宋体"/>
          <w:sz w:val="30"/>
          <w:szCs w:val="30"/>
          <w:lang w:val="en-US" w:eastAsia="zh-CN"/>
        </w:rPr>
        <w:t>53</w:t>
      </w:r>
      <w:r>
        <w:rPr>
          <w:rFonts w:hint="eastAsia" w:ascii="宋体" w:hAnsi="宋体" w:eastAsia="宋体" w:cs="宋体"/>
          <w:sz w:val="30"/>
          <w:szCs w:val="30"/>
        </w:rPr>
        <w:t>人，在职人员</w:t>
      </w:r>
      <w:r>
        <w:rPr>
          <w:rFonts w:hint="eastAsia" w:ascii="宋体" w:hAnsi="宋体" w:cs="宋体"/>
          <w:sz w:val="30"/>
          <w:szCs w:val="30"/>
          <w:lang w:val="en-US" w:eastAsia="zh-CN"/>
        </w:rPr>
        <w:t>56</w:t>
      </w:r>
      <w:r>
        <w:rPr>
          <w:rFonts w:hint="eastAsia" w:ascii="宋体" w:hAnsi="宋体" w:eastAsia="宋体" w:cs="宋体"/>
          <w:sz w:val="30"/>
          <w:szCs w:val="30"/>
        </w:rPr>
        <w:t>人，在职人员控制率为</w:t>
      </w:r>
      <w:r>
        <w:rPr>
          <w:rFonts w:hint="eastAsia" w:ascii="宋体" w:hAnsi="宋体" w:cs="宋体"/>
          <w:sz w:val="30"/>
          <w:szCs w:val="30"/>
          <w:lang w:val="en-US" w:eastAsia="zh-CN"/>
        </w:rPr>
        <w:t>105.66</w:t>
      </w:r>
      <w:r>
        <w:rPr>
          <w:rFonts w:hint="eastAsia" w:ascii="宋体" w:hAnsi="宋体" w:eastAsia="宋体" w:cs="宋体"/>
          <w:sz w:val="30"/>
          <w:szCs w:val="30"/>
        </w:rPr>
        <w:t>%。本年三公经费预算数</w:t>
      </w:r>
      <w:r>
        <w:rPr>
          <w:rFonts w:hint="eastAsia" w:ascii="宋体" w:hAnsi="宋体" w:cs="宋体"/>
          <w:sz w:val="30"/>
          <w:szCs w:val="30"/>
          <w:lang w:val="en-US" w:eastAsia="zh-CN"/>
        </w:rPr>
        <w:t>99</w:t>
      </w:r>
      <w:r>
        <w:rPr>
          <w:rFonts w:hint="eastAsia" w:ascii="宋体" w:hAnsi="宋体" w:eastAsia="宋体" w:cs="宋体"/>
          <w:sz w:val="30"/>
          <w:szCs w:val="30"/>
        </w:rPr>
        <w:t>万元，上年预算数</w:t>
      </w:r>
      <w:r>
        <w:rPr>
          <w:rFonts w:hint="eastAsia" w:ascii="宋体" w:hAnsi="宋体" w:cs="宋体"/>
          <w:sz w:val="30"/>
          <w:szCs w:val="30"/>
          <w:lang w:val="en-US" w:eastAsia="zh-CN"/>
        </w:rPr>
        <w:t>99</w:t>
      </w:r>
      <w:r>
        <w:rPr>
          <w:rFonts w:hint="eastAsia" w:ascii="宋体" w:hAnsi="宋体" w:eastAsia="宋体" w:cs="宋体"/>
          <w:sz w:val="30"/>
          <w:szCs w:val="30"/>
        </w:rPr>
        <w:t>万元，“三公经费”变动率为0%，控制较好。</w:t>
      </w:r>
    </w:p>
    <w:p>
      <w:pPr>
        <w:spacing w:line="560" w:lineRule="exact"/>
        <w:ind w:firstLine="600" w:firstLineChars="200"/>
        <w:rPr>
          <w:rFonts w:hint="eastAsia" w:ascii="宋体" w:hAnsi="宋体" w:eastAsia="宋体" w:cs="宋体"/>
          <w:sz w:val="30"/>
          <w:szCs w:val="30"/>
        </w:rPr>
      </w:pPr>
      <w:r>
        <w:rPr>
          <w:rFonts w:hint="eastAsia" w:ascii="宋体" w:hAnsi="宋体" w:eastAsia="宋体" w:cs="宋体"/>
          <w:sz w:val="30"/>
          <w:szCs w:val="30"/>
        </w:rPr>
        <w:t>（二）预算执行方面 </w:t>
      </w:r>
    </w:p>
    <w:p>
      <w:pPr>
        <w:spacing w:line="560" w:lineRule="exact"/>
        <w:ind w:firstLine="600" w:firstLineChars="200"/>
        <w:rPr>
          <w:rFonts w:hint="eastAsia" w:ascii="宋体" w:hAnsi="宋体" w:eastAsia="宋体" w:cs="宋体"/>
          <w:sz w:val="30"/>
          <w:szCs w:val="30"/>
        </w:rPr>
      </w:pPr>
      <w:r>
        <w:rPr>
          <w:rFonts w:hint="eastAsia" w:ascii="宋体" w:hAnsi="宋体" w:cs="宋体"/>
          <w:sz w:val="30"/>
          <w:szCs w:val="30"/>
          <w:lang w:eastAsia="zh-CN"/>
        </w:rPr>
        <w:t>2020</w:t>
      </w:r>
      <w:r>
        <w:rPr>
          <w:rFonts w:hint="eastAsia" w:ascii="宋体" w:hAnsi="宋体" w:eastAsia="宋体" w:cs="宋体"/>
          <w:sz w:val="30"/>
          <w:szCs w:val="30"/>
        </w:rPr>
        <w:t>年上年结转</w:t>
      </w:r>
      <w:r>
        <w:rPr>
          <w:rFonts w:hint="eastAsia" w:ascii="宋体" w:hAnsi="宋体" w:cs="宋体"/>
          <w:sz w:val="30"/>
          <w:szCs w:val="30"/>
          <w:lang w:eastAsia="zh-CN"/>
        </w:rPr>
        <w:t>资金</w:t>
      </w:r>
      <w:r>
        <w:rPr>
          <w:rFonts w:hint="eastAsia" w:ascii="宋体" w:hAnsi="宋体" w:eastAsia="宋体" w:cs="宋体"/>
          <w:sz w:val="30"/>
          <w:szCs w:val="30"/>
        </w:rPr>
        <w:t>0万元，年初预算</w:t>
      </w:r>
      <w:r>
        <w:rPr>
          <w:rFonts w:hint="eastAsia" w:ascii="宋体" w:hAnsi="宋体" w:eastAsia="宋体" w:cs="宋体"/>
          <w:sz w:val="30"/>
          <w:szCs w:val="30"/>
          <w:lang w:val="en-US" w:eastAsia="zh-CN"/>
        </w:rPr>
        <w:t>1221.25</w:t>
      </w:r>
      <w:r>
        <w:rPr>
          <w:rFonts w:hint="eastAsia" w:ascii="宋体" w:hAnsi="宋体" w:eastAsia="宋体" w:cs="宋体"/>
          <w:sz w:val="30"/>
          <w:szCs w:val="30"/>
        </w:rPr>
        <w:t>万元，本年追加预算</w:t>
      </w:r>
      <w:r>
        <w:rPr>
          <w:rFonts w:hint="eastAsia" w:ascii="宋体" w:hAnsi="宋体" w:cs="宋体"/>
          <w:sz w:val="30"/>
          <w:szCs w:val="30"/>
          <w:lang w:val="en-US" w:eastAsia="zh-CN"/>
        </w:rPr>
        <w:t>347.87</w:t>
      </w:r>
      <w:r>
        <w:rPr>
          <w:rFonts w:hint="eastAsia" w:ascii="宋体" w:hAnsi="宋体" w:eastAsia="宋体" w:cs="宋体"/>
          <w:sz w:val="30"/>
          <w:szCs w:val="30"/>
        </w:rPr>
        <w:t>万元，年末结余0万元。预算完成率100%。 </w:t>
      </w:r>
    </w:p>
    <w:p>
      <w:pPr>
        <w:spacing w:line="560" w:lineRule="exact"/>
        <w:ind w:firstLine="600" w:firstLineChars="200"/>
        <w:rPr>
          <w:rFonts w:hint="eastAsia" w:ascii="宋体" w:hAnsi="宋体" w:eastAsia="宋体" w:cs="宋体"/>
          <w:sz w:val="30"/>
          <w:szCs w:val="30"/>
        </w:rPr>
      </w:pPr>
      <w:r>
        <w:rPr>
          <w:rFonts w:hint="eastAsia" w:ascii="宋体" w:hAnsi="宋体" w:eastAsia="宋体" w:cs="宋体"/>
          <w:sz w:val="30"/>
          <w:szCs w:val="30"/>
        </w:rPr>
        <w:t>（三）预算管理方面 </w:t>
      </w:r>
    </w:p>
    <w:p>
      <w:pPr>
        <w:spacing w:line="560" w:lineRule="exact"/>
        <w:ind w:firstLine="600" w:firstLineChars="200"/>
        <w:rPr>
          <w:rFonts w:hint="eastAsia" w:ascii="宋体" w:hAnsi="宋体" w:eastAsia="宋体" w:cs="宋体"/>
          <w:sz w:val="30"/>
          <w:szCs w:val="30"/>
        </w:rPr>
      </w:pPr>
      <w:r>
        <w:rPr>
          <w:rFonts w:hint="eastAsia" w:ascii="宋体" w:hAnsi="宋体" w:cs="宋体"/>
          <w:sz w:val="30"/>
          <w:szCs w:val="30"/>
          <w:lang w:eastAsia="zh-CN"/>
        </w:rPr>
        <w:t>2020</w:t>
      </w:r>
      <w:r>
        <w:rPr>
          <w:rFonts w:hint="eastAsia" w:ascii="宋体" w:hAnsi="宋体" w:eastAsia="宋体" w:cs="宋体"/>
          <w:sz w:val="30"/>
          <w:szCs w:val="30"/>
        </w:rPr>
        <w:t>年</w:t>
      </w:r>
      <w:r>
        <w:rPr>
          <w:rFonts w:hint="eastAsia" w:ascii="宋体" w:hAnsi="宋体" w:eastAsia="宋体" w:cs="宋体"/>
          <w:sz w:val="30"/>
          <w:szCs w:val="30"/>
          <w:lang w:eastAsia="zh-CN"/>
        </w:rPr>
        <w:t>本单位</w:t>
      </w:r>
      <w:r>
        <w:rPr>
          <w:rFonts w:hint="eastAsia" w:ascii="宋体" w:hAnsi="宋体" w:eastAsia="宋体" w:cs="宋体"/>
          <w:sz w:val="30"/>
          <w:szCs w:val="30"/>
        </w:rPr>
        <w:t>预算管理各项指标控制较好。</w:t>
      </w:r>
      <w:r>
        <w:rPr>
          <w:rFonts w:hint="eastAsia" w:ascii="宋体" w:hAnsi="宋体" w:cs="宋体"/>
          <w:sz w:val="30"/>
          <w:szCs w:val="30"/>
          <w:lang w:val="en-US" w:eastAsia="zh-CN"/>
        </w:rPr>
        <w:t>2020年度</w:t>
      </w:r>
      <w:r>
        <w:rPr>
          <w:rFonts w:hint="eastAsia" w:ascii="宋体" w:hAnsi="宋体" w:eastAsia="宋体" w:cs="宋体"/>
          <w:sz w:val="30"/>
          <w:szCs w:val="30"/>
        </w:rPr>
        <w:t>实际支出公用经费</w:t>
      </w:r>
      <w:r>
        <w:rPr>
          <w:rFonts w:hint="eastAsia" w:ascii="宋体" w:hAnsi="宋体" w:cs="宋体"/>
          <w:sz w:val="30"/>
          <w:szCs w:val="30"/>
          <w:lang w:val="en-US" w:eastAsia="zh-CN"/>
        </w:rPr>
        <w:t>170.15</w:t>
      </w:r>
      <w:r>
        <w:rPr>
          <w:rFonts w:hint="eastAsia" w:ascii="宋体" w:hAnsi="宋体" w:eastAsia="宋体" w:cs="宋体"/>
          <w:sz w:val="30"/>
          <w:szCs w:val="30"/>
        </w:rPr>
        <w:t>万元，预算公用经费173.</w:t>
      </w:r>
      <w:r>
        <w:rPr>
          <w:rFonts w:hint="eastAsia" w:ascii="宋体" w:hAnsi="宋体" w:eastAsia="宋体" w:cs="宋体"/>
          <w:sz w:val="30"/>
          <w:szCs w:val="30"/>
          <w:lang w:val="en-US" w:eastAsia="zh-CN"/>
        </w:rPr>
        <w:t>5</w:t>
      </w:r>
      <w:r>
        <w:rPr>
          <w:rFonts w:hint="eastAsia" w:ascii="宋体" w:hAnsi="宋体" w:eastAsia="宋体" w:cs="宋体"/>
          <w:sz w:val="30"/>
          <w:szCs w:val="30"/>
        </w:rPr>
        <w:t>万元，公用经费控制率</w:t>
      </w:r>
      <w:r>
        <w:rPr>
          <w:rFonts w:hint="eastAsia" w:ascii="宋体" w:hAnsi="宋体" w:cs="宋体"/>
          <w:sz w:val="30"/>
          <w:szCs w:val="30"/>
          <w:lang w:val="en-US" w:eastAsia="zh-CN"/>
        </w:rPr>
        <w:t>98</w:t>
      </w:r>
      <w:r>
        <w:rPr>
          <w:rFonts w:hint="eastAsia" w:ascii="宋体" w:hAnsi="宋体" w:eastAsia="宋体" w:cs="宋体"/>
          <w:sz w:val="30"/>
          <w:szCs w:val="30"/>
        </w:rPr>
        <w:t>%。</w:t>
      </w:r>
    </w:p>
    <w:p>
      <w:pPr>
        <w:spacing w:line="560" w:lineRule="exact"/>
        <w:ind w:firstLine="600" w:firstLineChars="200"/>
        <w:rPr>
          <w:rFonts w:hint="eastAsia" w:ascii="宋体" w:hAnsi="宋体" w:eastAsia="宋体" w:cs="宋体"/>
          <w:sz w:val="30"/>
          <w:szCs w:val="30"/>
        </w:rPr>
      </w:pPr>
      <w:r>
        <w:rPr>
          <w:rFonts w:hint="eastAsia" w:ascii="宋体" w:hAnsi="宋体" w:eastAsia="宋体" w:cs="宋体"/>
          <w:sz w:val="30"/>
          <w:szCs w:val="30"/>
        </w:rPr>
        <w:t>“三公”经费实际支出数为</w:t>
      </w:r>
      <w:r>
        <w:rPr>
          <w:rFonts w:hint="eastAsia" w:ascii="宋体" w:hAnsi="宋体" w:cs="宋体"/>
          <w:sz w:val="30"/>
          <w:szCs w:val="30"/>
          <w:lang w:val="en-US" w:eastAsia="zh-CN"/>
        </w:rPr>
        <w:t>21.74</w:t>
      </w:r>
      <w:r>
        <w:rPr>
          <w:rFonts w:hint="eastAsia" w:ascii="宋体" w:hAnsi="宋体" w:eastAsia="宋体" w:cs="宋体"/>
          <w:sz w:val="30"/>
          <w:szCs w:val="30"/>
        </w:rPr>
        <w:t>万元，</w:t>
      </w:r>
      <w:r>
        <w:rPr>
          <w:rFonts w:hint="eastAsia" w:ascii="宋体" w:hAnsi="宋体" w:cs="宋体"/>
          <w:sz w:val="30"/>
          <w:szCs w:val="30"/>
          <w:lang w:eastAsia="zh-CN"/>
        </w:rPr>
        <w:t>年初</w:t>
      </w:r>
      <w:r>
        <w:rPr>
          <w:rFonts w:hint="eastAsia" w:ascii="宋体" w:hAnsi="宋体" w:eastAsia="宋体" w:cs="宋体"/>
          <w:sz w:val="30"/>
          <w:szCs w:val="30"/>
        </w:rPr>
        <w:t>预算数</w:t>
      </w:r>
      <w:r>
        <w:rPr>
          <w:rFonts w:hint="eastAsia" w:ascii="宋体" w:hAnsi="宋体" w:cs="宋体"/>
          <w:sz w:val="30"/>
          <w:szCs w:val="30"/>
          <w:lang w:val="en-US" w:eastAsia="zh-CN"/>
        </w:rPr>
        <w:t>99</w:t>
      </w:r>
      <w:r>
        <w:rPr>
          <w:rFonts w:hint="eastAsia" w:ascii="宋体" w:hAnsi="宋体" w:eastAsia="宋体" w:cs="宋体"/>
          <w:sz w:val="30"/>
          <w:szCs w:val="30"/>
        </w:rPr>
        <w:t>万元，“三公”经费控制率为</w:t>
      </w:r>
      <w:r>
        <w:rPr>
          <w:rFonts w:hint="eastAsia" w:ascii="宋体" w:hAnsi="宋体" w:cs="宋体"/>
          <w:sz w:val="30"/>
          <w:szCs w:val="30"/>
          <w:lang w:val="en-US" w:eastAsia="zh-CN"/>
        </w:rPr>
        <w:t>21.96</w:t>
      </w:r>
      <w:r>
        <w:rPr>
          <w:rFonts w:hint="eastAsia" w:ascii="宋体" w:hAnsi="宋体" w:eastAsia="宋体" w:cs="宋体"/>
          <w:sz w:val="30"/>
          <w:szCs w:val="30"/>
        </w:rPr>
        <w:t>%。 </w:t>
      </w:r>
    </w:p>
    <w:p>
      <w:pPr>
        <w:spacing w:line="560" w:lineRule="exact"/>
        <w:ind w:firstLine="600" w:firstLineChars="200"/>
        <w:rPr>
          <w:rFonts w:hint="eastAsia" w:ascii="宋体" w:hAnsi="宋体" w:eastAsia="宋体" w:cs="宋体"/>
          <w:sz w:val="30"/>
          <w:szCs w:val="30"/>
        </w:rPr>
      </w:pPr>
      <w:r>
        <w:rPr>
          <w:rFonts w:hint="eastAsia" w:ascii="宋体" w:hAnsi="宋体" w:eastAsia="宋体" w:cs="宋体"/>
          <w:sz w:val="30"/>
          <w:szCs w:val="30"/>
        </w:rPr>
        <w:t>政府采购</w:t>
      </w:r>
      <w:r>
        <w:rPr>
          <w:rFonts w:hint="eastAsia" w:ascii="宋体" w:hAnsi="宋体" w:cs="宋体"/>
          <w:sz w:val="30"/>
          <w:szCs w:val="30"/>
          <w:lang w:eastAsia="zh-CN"/>
        </w:rPr>
        <w:t>年初</w:t>
      </w:r>
      <w:r>
        <w:rPr>
          <w:rFonts w:hint="eastAsia" w:ascii="宋体" w:hAnsi="宋体" w:eastAsia="宋体" w:cs="宋体"/>
          <w:sz w:val="30"/>
          <w:szCs w:val="30"/>
        </w:rPr>
        <w:t>预算数</w:t>
      </w:r>
      <w:r>
        <w:rPr>
          <w:rFonts w:hint="eastAsia" w:ascii="宋体" w:hAnsi="宋体" w:cs="宋体"/>
          <w:sz w:val="30"/>
          <w:szCs w:val="30"/>
          <w:lang w:val="en-US" w:eastAsia="zh-CN"/>
        </w:rPr>
        <w:t>452</w:t>
      </w:r>
      <w:r>
        <w:rPr>
          <w:rFonts w:hint="eastAsia" w:ascii="宋体" w:hAnsi="宋体" w:eastAsia="宋体" w:cs="宋体"/>
          <w:sz w:val="30"/>
          <w:szCs w:val="30"/>
        </w:rPr>
        <w:t>万元，实际政府采购金额</w:t>
      </w:r>
      <w:r>
        <w:rPr>
          <w:rFonts w:hint="eastAsia" w:ascii="宋体" w:hAnsi="宋体" w:cs="宋体"/>
          <w:sz w:val="30"/>
          <w:szCs w:val="30"/>
          <w:lang w:val="en-US" w:eastAsia="zh-CN"/>
        </w:rPr>
        <w:t>118.59</w:t>
      </w:r>
      <w:r>
        <w:rPr>
          <w:rFonts w:hint="eastAsia" w:ascii="宋体" w:hAnsi="宋体" w:eastAsia="宋体" w:cs="宋体"/>
          <w:sz w:val="30"/>
          <w:szCs w:val="30"/>
        </w:rPr>
        <w:t>万元，政府采购执行率</w:t>
      </w:r>
      <w:r>
        <w:rPr>
          <w:rFonts w:hint="eastAsia" w:ascii="宋体" w:hAnsi="宋体" w:cs="宋体"/>
          <w:sz w:val="30"/>
          <w:szCs w:val="30"/>
          <w:lang w:val="en-US" w:eastAsia="zh-CN"/>
        </w:rPr>
        <w:t>26.24</w:t>
      </w:r>
      <w:r>
        <w:rPr>
          <w:rFonts w:hint="eastAsia" w:ascii="宋体" w:hAnsi="宋体" w:eastAsia="宋体" w:cs="宋体"/>
          <w:sz w:val="30"/>
          <w:szCs w:val="30"/>
        </w:rPr>
        <w:t>%。 </w:t>
      </w:r>
    </w:p>
    <w:p>
      <w:pPr>
        <w:spacing w:line="560" w:lineRule="exact"/>
        <w:ind w:firstLine="600" w:firstLineChars="200"/>
        <w:rPr>
          <w:rFonts w:hint="eastAsia" w:ascii="宋体" w:hAnsi="宋体" w:eastAsia="宋体" w:cs="宋体"/>
          <w:sz w:val="30"/>
          <w:szCs w:val="30"/>
        </w:rPr>
      </w:pPr>
      <w:r>
        <w:rPr>
          <w:rFonts w:hint="eastAsia" w:ascii="宋体" w:hAnsi="宋体" w:eastAsia="宋体" w:cs="宋体"/>
          <w:sz w:val="30"/>
          <w:szCs w:val="30"/>
        </w:rPr>
        <w:t>（四）职责履行和履职效益方面</w:t>
      </w:r>
    </w:p>
    <w:p>
      <w:pPr>
        <w:spacing w:line="560" w:lineRule="exact"/>
        <w:ind w:firstLine="600" w:firstLineChars="200"/>
        <w:rPr>
          <w:rFonts w:hint="eastAsia" w:ascii="宋体" w:hAnsi="宋体" w:cs="宋体"/>
          <w:sz w:val="30"/>
          <w:szCs w:val="30"/>
          <w:lang w:val="en-US" w:eastAsia="zh-CN"/>
        </w:rPr>
      </w:pPr>
      <w:r>
        <w:rPr>
          <w:rFonts w:hint="eastAsia" w:ascii="宋体" w:hAnsi="宋体" w:cs="宋体"/>
          <w:sz w:val="30"/>
          <w:szCs w:val="30"/>
          <w:lang w:val="en-US" w:eastAsia="zh-CN"/>
        </w:rPr>
        <w:t>1.坚持政治建警，保证队伍忠诚担当。认真开展“坚持政治建警.全面从严治警”教育整顿活动。一是抓学习教育，筑牢民警思想根基。二是金洞分局主题教育活动开展“学、查、改”，主题教育工作开展以来，金洞分局的主题教育活动一直在抓紧进行，突出抓好学习与调研，坚持以问题为导向，边学边查边改，检视问题不避短处，整改问题见人见事，以主题教育推动作风转变、问题的解决。三是抓思想转变，提升队伍精气神。四是抓制度约束，提升队伍规范水平。严格落实每周一早上点名、上下班签到、每周集训、周局务例会、每周卫生大扫除、半月谈等制度，民警日常行为规范规矩，工作作风焕然一新。五是抓督察整治，内外联动齐制约。</w:t>
      </w:r>
    </w:p>
    <w:p>
      <w:pPr>
        <w:spacing w:line="560" w:lineRule="exact"/>
        <w:ind w:firstLine="600" w:firstLineChars="200"/>
        <w:rPr>
          <w:rFonts w:hint="eastAsia" w:ascii="宋体" w:hAnsi="宋体" w:cs="宋体"/>
          <w:sz w:val="30"/>
          <w:szCs w:val="30"/>
          <w:lang w:val="en-US" w:eastAsia="zh-CN"/>
        </w:rPr>
      </w:pPr>
      <w:r>
        <w:rPr>
          <w:rFonts w:hint="eastAsia" w:ascii="宋体" w:hAnsi="宋体" w:cs="宋体"/>
          <w:sz w:val="30"/>
          <w:szCs w:val="30"/>
          <w:lang w:val="en-US" w:eastAsia="zh-CN"/>
        </w:rPr>
        <w:t>2.取得抗击新冠肺炎的胜利。2020年冬春之即，新冠肺炎疫情爆发，金洞分局坚持“隔离不隔工作”，始终坚持在战斗在第一线，疫情发生以来，分局坚持科学防治，一边落实防疫措施，一边坚持战斗，做到隔离不隔工作，他们坚持战时状态，实行战时政治建警，党员民警带头坚守。疫情伊始，需要设立检查站，交警因疫情无法参战，分局主动担当，承担起了检查站的主力，分局由局领导带队到龙潜凼检查站值班，所有派出所、农村辅警放弃春节假期，全面投入抗战一线。战役期间分局共投入警力1000余人次，与乡镇一道检查车辆12000余台次，检查人员29000余人次。战役期间分局积极防疫，发挥公安机关职能作用，消除隐患，广泛收集情报线索，为战疫打下了坚实基础，与此同时，分局对于有关疫情的网络舆情进行积极地筛查，对制造传播谣言的行为依法进行打击，在战疫中，金洞分局共关停娱乐场所、人员聚众场所48家，驱散聚众打牌行为100余起，立涉疫行政案件2起，坚定为战疫工作提供有力法制保障。</w:t>
      </w:r>
    </w:p>
    <w:p>
      <w:pPr>
        <w:spacing w:line="560" w:lineRule="exact"/>
        <w:ind w:firstLine="600" w:firstLineChars="200"/>
        <w:rPr>
          <w:rFonts w:hint="eastAsia" w:ascii="宋体" w:hAnsi="宋体" w:cs="宋体"/>
          <w:sz w:val="30"/>
          <w:szCs w:val="30"/>
          <w:lang w:val="en-US" w:eastAsia="zh-CN"/>
        </w:rPr>
      </w:pPr>
      <w:r>
        <w:rPr>
          <w:rFonts w:hint="eastAsia" w:ascii="宋体" w:hAnsi="宋体" w:cs="宋体"/>
          <w:sz w:val="30"/>
          <w:szCs w:val="30"/>
          <w:lang w:val="en-US" w:eastAsia="zh-CN"/>
        </w:rPr>
        <w:t>3.以“四个大抓”为抓手，全面推行县域警务工作。自县域警务开展以来，我局坚持“快实准”全力推动县域警务工作，一是工作部署“快”。二是宣讲调研“实”。在开展县域警务宣讲方面，分局通过每周一晚上“警营夜校”连续举办县域警务集中学习培训班4期，参学人数160余人次；在分局内网及时发布县域警务相关文件，工作消息15篇次，向《永州日报》推稿10篇。在开展“大学习、大讨论、大起底”工作方面，分局通过局务会议、所队务会议层层组织学习讨论，真正让全局上下弄清楚了县域警务“是什么、为什么、怎么干”的问题；为了全面澄清风险底数，全面客观评估，为出台《2020金洞城乡域政治安全和社会稳定风险报告》打下基础，分局党委班子6名成员带领相关部门分别到联系的所队、乡镇开展专题调研，既深入基层单位进行专题宣讲县域警务知识，同时带着问题下乡进村摸排收集第一手资料和基础数据。三是《报告》依据“准”。金洞分局由政工监督室牵头，结合工作实际，在省厅评估维度基础上，新增森林防火风险纬度，对辖区45个村（社区）的政治安全和社会稳定风险情况进行大起底、大梳理、大排队，划分一类风险村（居）委会13个、二类风险村（居）委会20个、三类风险村（居）委会12个。《报告》已经如期完成并第一时间上报到市局县域办。为了按期保质完成《2020金洞城乡域政治风险和社会稳定风险报告》，分局两位主要领导亲自指挥，亲自坐镇、亲自动手，参加两个报告的的酝酿、起草、组稿、审阅，直至正式出台。在市委党校学习的分局局长秦学君同志利用学习休息时间每天不忘打电话询问指导分局县域办同志们工作；在局里代为主持全盘工作的刘明政委，在两个报告起草过程中，与分局县域办同志们起早贪黑全天候工作，一同收集汇总基础数据，并逐条审核把关，确保了《报告》的准确客观、科学全面。目前县域警务工作已经进入常态化。</w:t>
      </w:r>
    </w:p>
    <w:p>
      <w:pPr>
        <w:spacing w:line="560" w:lineRule="exact"/>
        <w:ind w:firstLine="600" w:firstLineChars="200"/>
        <w:rPr>
          <w:rFonts w:hint="eastAsia" w:ascii="宋体" w:hAnsi="宋体" w:cs="宋体"/>
          <w:sz w:val="30"/>
          <w:szCs w:val="30"/>
          <w:lang w:val="en-US" w:eastAsia="zh-CN"/>
        </w:rPr>
      </w:pPr>
      <w:r>
        <w:rPr>
          <w:rFonts w:hint="eastAsia" w:ascii="宋体" w:hAnsi="宋体" w:cs="宋体"/>
          <w:sz w:val="30"/>
          <w:szCs w:val="30"/>
          <w:lang w:val="en-US" w:eastAsia="zh-CN"/>
        </w:rPr>
        <w:t>4.全面落实“大巡防、大管控、大整治”举措，确保以双节安保为核心的节点警务的顺利完成。分局按照"只能有经验，不能有教训的标准”和"确保万无一失，因为一失万无”的工作要求，圆满完成了双节期间大庆安保维稳、十九届五中全会等重大节点的维稳安保工作任务。实现了重点人员进京赴省零发生的工作目标。成绩的取得一是最高部署。为确保双节期间的安保和稳定，管理区和分局分别制定了《国庆中秋安保维稳总体方案与实施方案》，召开专门会议由主要领导亲自部署安排，要求全区各级部门将工作重心统一到双节安保上来，各司其职，确保安全。二是最实落实。三是最严防范。对重点人员实行五包一，一日三见面等措施，全面加强学校、医院等重点部位安防，坚持大巡防，确保白天见警车，晚上见警灯。及时处置了“9.13”交通事故，圆满完成了双节和十九届五中全会等一系列节点警务。</w:t>
      </w:r>
    </w:p>
    <w:p>
      <w:pPr>
        <w:spacing w:line="560" w:lineRule="exact"/>
        <w:ind w:firstLine="600" w:firstLineChars="200"/>
        <w:rPr>
          <w:rFonts w:hint="eastAsia" w:ascii="宋体" w:hAnsi="宋体" w:cs="宋体"/>
          <w:sz w:val="30"/>
          <w:szCs w:val="30"/>
          <w:lang w:val="en-US" w:eastAsia="zh-CN"/>
        </w:rPr>
      </w:pPr>
      <w:r>
        <w:rPr>
          <w:rFonts w:hint="eastAsia" w:ascii="宋体" w:hAnsi="宋体" w:cs="宋体"/>
          <w:sz w:val="30"/>
          <w:szCs w:val="30"/>
          <w:lang w:val="en-US" w:eastAsia="zh-CN"/>
        </w:rPr>
        <w:t xml:space="preserve"> 5.做实基层基础，夯实平安之基。“多破案不如少发案”、“安居是乐业的前提，安全是最大的民生。”今年以来，分局全力强化社会管控力度，强化基础防范，以打造全市最平安县区为目标，努力建设平安金洞。一是以建促防，极大地夯实了治安基础。金洞分局在2020年期间新建1个巡防平台，9个群防平台，共10个治安防控平台，增强了基层治安维稳力量，使基层各项治安举措得以落实，有效的增强了社会治安力量。二是以控促防，有效管控社会乱源。我局无论是在特殊节假日期间还是在日常防控期间对重点人员的管控是全方位的管控，随时掌握重点人员的活动信息。</w:t>
      </w:r>
    </w:p>
    <w:p>
      <w:pPr>
        <w:spacing w:line="560" w:lineRule="exact"/>
        <w:ind w:firstLine="600" w:firstLineChars="200"/>
        <w:rPr>
          <w:rFonts w:hint="eastAsia" w:ascii="宋体" w:hAnsi="宋体" w:cs="宋体"/>
          <w:sz w:val="30"/>
          <w:szCs w:val="30"/>
          <w:lang w:val="en-US" w:eastAsia="zh-CN"/>
        </w:rPr>
      </w:pPr>
      <w:r>
        <w:rPr>
          <w:rFonts w:hint="eastAsia" w:ascii="宋体" w:hAnsi="宋体" w:cs="宋体"/>
          <w:sz w:val="30"/>
          <w:szCs w:val="30"/>
          <w:lang w:val="en-US" w:eastAsia="zh-CN"/>
        </w:rPr>
        <w:t>6.突出打击犯罪主业，有力开展专项行动。打击犯罪是公安机关的主业，侦查破案是公安民警的主责。截至目前，今年共立刑事案件31起，较去年下降47%，破9起，破案率29%，刑拘19人，已起诉14人，4人正在办理。查处治安违法人员47人，行政拘留13人，罚款15人，警告18人。按照市局的统一部署分局相继开展了扫黑除恶、打击“三贷三霸”、打击野生动物资源犯罪等各项专项行动，一是扫黑除恶专项斗争有序推进。坚持“六清”标准，做到涉恶线索全面查清，2019年办理的罗某某涉恶文件顺利审判，长效机制不断完善。二是“利剑行动” 落实有力。自利剑行动开展以来我局坚持多范围全方位进行宣传和打击，组织办案部门深入学习相关法律政策，有力有效开展了一系列打击行动，刑拘18人，并且超额完成了任务。三是禁毒执法攻坚战克服困难，将缉毒阵地延伸到外县区，主动出击，主动作为。分局缉毒任务较重，我们主动出击，积极作为，广辟线索，咬牙挺住，努力完成市局交办的任务。目前已移诉1人，刑拘2人，查处 吸毒人员10人，强戒4人。今年是禁毒示范城市的收官之年，我局以百分之百的决心坚决打击贩毒、吸毒人员，在整治外流毒贩方面，积极处理好了外流贩毒案件。</w:t>
      </w:r>
    </w:p>
    <w:p>
      <w:pPr>
        <w:spacing w:line="560" w:lineRule="exact"/>
        <w:ind w:firstLine="600" w:firstLineChars="200"/>
        <w:rPr>
          <w:rFonts w:hint="eastAsia" w:ascii="宋体" w:hAnsi="宋体" w:cs="宋体"/>
          <w:sz w:val="30"/>
          <w:szCs w:val="30"/>
          <w:lang w:val="en-US" w:eastAsia="zh-CN"/>
        </w:rPr>
      </w:pPr>
      <w:r>
        <w:rPr>
          <w:rFonts w:hint="eastAsia" w:ascii="宋体" w:hAnsi="宋体" w:cs="宋体"/>
          <w:sz w:val="30"/>
          <w:szCs w:val="30"/>
          <w:lang w:val="en-US" w:eastAsia="zh-CN"/>
        </w:rPr>
        <w:t>5.将安全放在心上、抓在手上，确保公共安全平稳。结合辖区林区面积广的特点，我局始终将护林防火工作放在重要位置，不断创新森林防火工作举措，着力从源头预防森林火灾发生，强力推进打击涉林犯罪专项行动，确保了森林资源安全，实现了连续34年无重特大森林火灾和人员伤亡事故。一是多措并举，确保防火万无一失。全面推进护林防火体制改革，保持专职消防队力量，强化日常训练，有力保障防火工作的需要。同时多形式强化防火宣传，今年以来分局印发《森林防火入户通知书》1万余份，出动防火宣传车120多台次，设立并维修永久性宣传牌共计40余块，不定期在各乡镇中小学校开展防火宣传教育课题。每逢高火险天气，适时发布《禁火令》，利用短信平台发布相关信息，在电视台发布森林火险等级预报。清明期间每个村安排2人在各山头路口，提醒村民不要随意野外用火，监控野外用火情况。严厉打击种违章用火和失火行为，发现一起，查处一起，通报一起。营造了浓厚的氛围，极大地提高了林区人民的安全用火意识。二是坚持民用消防与森林防火并重，克服没有公安消防机构的缺陷主动担责。积极贯彻落实《国务院关于加强和改进消防工作的意见》。抓好督促检查。一年来，共组织对烟花爆竹、危化品场所、人员密集场所等开展消防安全专项治理5次，发现并消除了大批火灾隐患。在重点时期，加强对重点地段、重点行业的排查整治。自开展专项行动以来，共检查单位24家次，下方《责令整改通知书》20份。二是积极开展消防宣传活动。全年开展覆盖全乡镇、全人口的大型消防宣传活动2次。突出消防安全教育宣传，消防部门积极走进乡镇、农村、医院、学校、集市等单位、场所广泛开展消防安全教育宣传，普及消防常识。通过讲授消防知识理论、消防灭火演练、疏散演练等形式，营造浓厚的宣传教育氛围。对企事业单位负责人、消防安全管理人和消防半专业队伍进行重点培训，有效提高了各单位、场所的消防安全管理水平和职工的消防安全意识。突出农村消防宣传。以消防“网格化”管理为模式，积极深入农村，共发放防火宣传单2万份。</w:t>
      </w:r>
    </w:p>
    <w:p>
      <w:pPr>
        <w:spacing w:line="560" w:lineRule="exact"/>
        <w:ind w:firstLine="600" w:firstLineChars="200"/>
        <w:rPr>
          <w:rFonts w:hint="eastAsia" w:ascii="宋体" w:hAnsi="宋体" w:cs="宋体"/>
          <w:sz w:val="30"/>
          <w:szCs w:val="30"/>
          <w:lang w:val="en-US" w:eastAsia="zh-CN"/>
        </w:rPr>
      </w:pPr>
      <w:r>
        <w:rPr>
          <w:rFonts w:hint="eastAsia" w:ascii="宋体" w:hAnsi="宋体" w:cs="宋体"/>
          <w:sz w:val="30"/>
          <w:szCs w:val="30"/>
          <w:lang w:val="en-US" w:eastAsia="zh-CN"/>
        </w:rPr>
        <w:t>6.践行为民服务宗旨，警民关系和谐融洽。今年以来，分局坚定“以人为本”理念，把思想统一到为民服务上来。一是结合扶贫结对工作，深入基层深入群众特别是结对贫困村白沙源村，加强与群众交流，倾听群众呼声和要求，定期进行走访，年节开展“送温暖”活动，为困难群众送去粮、油等生活用品；广泛宣传国家政策，结合“扶贫先扶智”“扶贫先扶志”等在教育、医疗、产业等多个方面与贫困户共同寻找脱贫致富路子，详细了解切实解决群众实际困难，通过政策扶持、产业发展、社会兜底等帮助该村贫困户脱离贫困，积极完成管理区脱贫目标，促进全面实现小康。二是贯彻让群众“最多跑一次”甚至“一次都不跑”，充分利用湖南公安服务平台等数字化办公手段，强化内部学习提升，完善配套服务，在辖区内全面推广网络办理业务，在各乡镇悬挂横幅20余条，制作摆放展板10余块，在全区投放宣传电子屏10余处，印发宣传手册1000余份。通过制作并在各服务窗口、宾馆等人流量大处摆放各式宣传台签、海报、宣传板等全面提高平台知晓度、使用率，面对面、手把手教群众使用网络办理业务平台；充分发挥管理区流动人口少，分局很多民警在金洞工作几十年，人熟地熟的优势，通过延长上班时间、休息时间轮流上班、错班制上班、下乡办证、送证上门等系列措施，帮助特困学生、救助寡居老人，把事关群众利益的小事做细、实事做实、好事做好，今年以来，办理身份证2727余张、出国境业务246余人，办理户口业务4177余人次，服务群众2万余人，组织下乡办证10人，走访困难群众60余人。未发生一起群众投诉事件。人民群众对公安工作和公安队伍的满意度显著提升。</w:t>
      </w:r>
    </w:p>
    <w:p>
      <w:pPr>
        <w:spacing w:line="560" w:lineRule="exact"/>
        <w:ind w:firstLine="600" w:firstLineChars="200"/>
        <w:rPr>
          <w:rFonts w:hint="eastAsia" w:ascii="宋体" w:hAnsi="宋体" w:eastAsia="宋体" w:cs="宋体"/>
          <w:b/>
          <w:sz w:val="30"/>
          <w:szCs w:val="30"/>
        </w:rPr>
      </w:pPr>
      <w:r>
        <w:rPr>
          <w:rFonts w:hint="eastAsia" w:ascii="宋体" w:hAnsi="宋体" w:cs="宋体"/>
          <w:sz w:val="30"/>
          <w:szCs w:val="30"/>
          <w:lang w:val="en-US" w:eastAsia="zh-CN"/>
        </w:rPr>
        <w:t>综上，永州市公安局金洞分局2020年运行成本控制得当，管理效率高，履职效能强，社会效应显著，社会公众满意，2020年部门整体支出绩效评价自评得分为88分，自评结果：良好。</w:t>
      </w:r>
    </w:p>
    <w:p>
      <w:pPr>
        <w:numPr>
          <w:ilvl w:val="0"/>
          <w:numId w:val="3"/>
        </w:numPr>
        <w:spacing w:line="560" w:lineRule="exact"/>
        <w:ind w:firstLine="600" w:firstLineChars="200"/>
        <w:rPr>
          <w:rFonts w:hint="eastAsia" w:ascii="宋体" w:hAnsi="宋体" w:eastAsia="宋体" w:cs="宋体"/>
          <w:b/>
          <w:sz w:val="30"/>
          <w:szCs w:val="30"/>
        </w:rPr>
      </w:pPr>
      <w:r>
        <w:rPr>
          <w:rFonts w:hint="eastAsia" w:ascii="宋体" w:hAnsi="宋体" w:eastAsia="宋体" w:cs="宋体"/>
          <w:b/>
          <w:sz w:val="30"/>
          <w:szCs w:val="30"/>
        </w:rPr>
        <w:t>存在的主要问题</w:t>
      </w:r>
    </w:p>
    <w:p>
      <w:pPr>
        <w:spacing w:line="560" w:lineRule="exact"/>
        <w:ind w:firstLine="600" w:firstLineChars="200"/>
        <w:rPr>
          <w:rFonts w:hint="eastAsia" w:ascii="Calibri" w:hAnsi="Calibri" w:cs="Times New Roman"/>
          <w:kern w:val="2"/>
          <w:sz w:val="30"/>
          <w:szCs w:val="30"/>
        </w:rPr>
      </w:pPr>
      <w:r>
        <w:rPr>
          <w:rFonts w:hint="eastAsia" w:ascii="Calibri" w:hAnsi="Calibri" w:cs="Times New Roman"/>
          <w:kern w:val="2"/>
          <w:sz w:val="30"/>
          <w:szCs w:val="30"/>
        </w:rPr>
        <w:t>一是内控制度、财务制度还有待进一步完善。二是部分政策性支出预算安排不足。</w:t>
      </w:r>
    </w:p>
    <w:p>
      <w:pPr>
        <w:spacing w:line="560" w:lineRule="exact"/>
        <w:ind w:firstLine="600" w:firstLineChars="200"/>
        <w:rPr>
          <w:rFonts w:hint="eastAsia" w:ascii="宋体" w:hAnsi="宋体" w:eastAsia="宋体" w:cs="宋体"/>
          <w:b/>
          <w:sz w:val="30"/>
          <w:szCs w:val="30"/>
        </w:rPr>
      </w:pPr>
      <w:r>
        <w:rPr>
          <w:rFonts w:hint="eastAsia" w:ascii="宋体" w:hAnsi="宋体" w:eastAsia="宋体" w:cs="宋体"/>
          <w:b/>
          <w:sz w:val="30"/>
          <w:szCs w:val="30"/>
        </w:rPr>
        <w:t>六、改进措施和有关建议</w:t>
      </w:r>
    </w:p>
    <w:p>
      <w:pPr>
        <w:spacing w:line="600" w:lineRule="exact"/>
        <w:ind w:right="-105" w:rightChars="-50" w:firstLine="600" w:firstLineChars="200"/>
        <w:rPr>
          <w:rFonts w:hint="eastAsia" w:ascii="宋体" w:hAnsi="宋体" w:eastAsia="宋体" w:cs="宋体"/>
          <w:sz w:val="30"/>
          <w:szCs w:val="30"/>
          <w:lang w:val="en-US" w:eastAsia="zh-CN"/>
        </w:rPr>
      </w:pPr>
      <w:r>
        <w:rPr>
          <w:rFonts w:hint="eastAsia" w:ascii="宋体" w:hAnsi="宋体" w:cs="宋体"/>
          <w:sz w:val="30"/>
          <w:szCs w:val="30"/>
          <w:lang w:val="en-US" w:eastAsia="zh-CN"/>
        </w:rPr>
        <w:t>1</w:t>
      </w:r>
      <w:r>
        <w:rPr>
          <w:rFonts w:hint="eastAsia" w:ascii="宋体" w:hAnsi="宋体" w:eastAsia="宋体" w:cs="宋体"/>
          <w:sz w:val="30"/>
          <w:szCs w:val="30"/>
          <w:lang w:val="en-US" w:eastAsia="zh-CN"/>
        </w:rPr>
        <w:t>、进一步提高财务管理水平。加强财务人员的培训，提高财务核算管理水平；严格贯彻执行国家有关法律法规和财经纪律，对检查发现的问题及时整改落实，杜绝不规范支出。</w:t>
      </w:r>
    </w:p>
    <w:p>
      <w:pPr>
        <w:spacing w:line="600" w:lineRule="exact"/>
        <w:ind w:right="-105" w:rightChars="-50" w:firstLine="600" w:firstLineChars="200"/>
        <w:rPr>
          <w:rFonts w:hint="eastAsia" w:ascii="宋体" w:hAnsi="宋体" w:eastAsia="宋体" w:cs="宋体"/>
          <w:sz w:val="30"/>
          <w:szCs w:val="30"/>
          <w:lang w:val="en-US" w:eastAsia="zh-CN"/>
        </w:rPr>
      </w:pPr>
      <w:r>
        <w:rPr>
          <w:rFonts w:hint="eastAsia" w:ascii="宋体" w:hAnsi="宋体" w:cs="宋体"/>
          <w:sz w:val="30"/>
          <w:szCs w:val="30"/>
          <w:lang w:val="en-US" w:eastAsia="zh-CN"/>
        </w:rPr>
        <w:t>2、</w:t>
      </w:r>
      <w:r>
        <w:rPr>
          <w:rFonts w:hint="eastAsia" w:ascii="宋体" w:hAnsi="宋体" w:eastAsia="宋体" w:cs="宋体"/>
          <w:sz w:val="30"/>
          <w:szCs w:val="30"/>
          <w:lang w:val="en-US" w:eastAsia="zh-CN"/>
        </w:rPr>
        <w:t>在政法系统中，公安机关处在维护稳定、打击犯罪的第一线，同时，还承担了禁毒、反恐、维稳等专项工作。因此，公安支出，无论是消耗性的还是建设性的都需要大量资金。在今后资金安排上，请市财政提高我局</w:t>
      </w:r>
      <w:r>
        <w:rPr>
          <w:rFonts w:hint="eastAsia" w:ascii="宋体" w:hAnsi="宋体" w:cs="宋体"/>
          <w:sz w:val="30"/>
          <w:szCs w:val="30"/>
          <w:lang w:val="en-US" w:eastAsia="zh-CN"/>
        </w:rPr>
        <w:t>办案</w:t>
      </w:r>
      <w:r>
        <w:rPr>
          <w:rFonts w:hint="eastAsia" w:ascii="宋体" w:hAnsi="宋体" w:eastAsia="宋体" w:cs="宋体"/>
          <w:sz w:val="30"/>
          <w:szCs w:val="30"/>
          <w:lang w:val="en-US" w:eastAsia="zh-CN"/>
        </w:rPr>
        <w:t>经费的支持力度。</w:t>
      </w:r>
    </w:p>
    <w:p>
      <w:pPr>
        <w:spacing w:line="600" w:lineRule="exact"/>
        <w:ind w:right="-105" w:rightChars="-50"/>
        <w:rPr>
          <w:rFonts w:hint="eastAsia" w:ascii="宋体" w:hAnsi="宋体" w:eastAsia="宋体" w:cs="宋体"/>
          <w:sz w:val="30"/>
          <w:szCs w:val="30"/>
        </w:rPr>
      </w:pPr>
    </w:p>
    <w:p>
      <w:pPr>
        <w:spacing w:line="600" w:lineRule="exact"/>
        <w:ind w:right="-105" w:rightChars="-50" w:firstLine="600" w:firstLineChars="200"/>
        <w:rPr>
          <w:rFonts w:hint="eastAsia" w:ascii="方正小标宋简体" w:eastAsia="方正小标宋简体"/>
          <w:sz w:val="38"/>
          <w:szCs w:val="38"/>
        </w:rPr>
      </w:pPr>
      <w:r>
        <w:rPr>
          <w:rFonts w:hint="eastAsia" w:ascii="宋体" w:hAnsi="宋体" w:eastAsia="宋体" w:cs="宋体"/>
          <w:sz w:val="30"/>
          <w:szCs w:val="30"/>
        </w:rPr>
        <w:t>附件：1.</w:t>
      </w:r>
      <w:r>
        <w:rPr>
          <w:rFonts w:hint="eastAsia" w:ascii="宋体" w:hAnsi="宋体" w:cs="宋体"/>
          <w:sz w:val="30"/>
          <w:szCs w:val="30"/>
          <w:lang w:val="en-US" w:eastAsia="zh-CN"/>
        </w:rPr>
        <w:t>2020年度</w:t>
      </w:r>
      <w:r>
        <w:rPr>
          <w:rFonts w:hint="eastAsia" w:ascii="宋体" w:hAnsi="宋体" w:eastAsia="宋体" w:cs="宋体"/>
          <w:sz w:val="30"/>
          <w:szCs w:val="30"/>
        </w:rPr>
        <w:t>部门整体支出绩效</w:t>
      </w:r>
      <w:r>
        <w:rPr>
          <w:rFonts w:hint="eastAsia" w:ascii="宋体" w:hAnsi="宋体" w:cs="宋体"/>
          <w:sz w:val="30"/>
          <w:szCs w:val="30"/>
          <w:lang w:eastAsia="zh-CN"/>
        </w:rPr>
        <w:t>自评表</w:t>
      </w:r>
    </w:p>
    <w:p>
      <w:pPr>
        <w:spacing w:before="240" w:beforeLines="100" w:after="240" w:afterLines="100"/>
        <w:jc w:val="center"/>
        <w:rPr>
          <w:rFonts w:hint="eastAsia" w:ascii="方正小标宋简体" w:eastAsia="方正小标宋简体"/>
          <w:sz w:val="38"/>
          <w:szCs w:val="38"/>
        </w:rPr>
      </w:pPr>
    </w:p>
    <w:p>
      <w:pPr>
        <w:spacing w:before="240" w:beforeLines="100" w:after="240" w:afterLines="100"/>
        <w:jc w:val="center"/>
        <w:rPr>
          <w:rFonts w:hint="eastAsia" w:ascii="方正小标宋简体" w:eastAsia="方正小标宋简体"/>
          <w:sz w:val="38"/>
          <w:szCs w:val="38"/>
        </w:rPr>
      </w:pPr>
    </w:p>
    <w:p>
      <w:pPr>
        <w:spacing w:before="240" w:beforeLines="100" w:after="240" w:afterLines="100"/>
        <w:jc w:val="center"/>
        <w:rPr>
          <w:rFonts w:hint="eastAsia" w:ascii="方正小标宋简体" w:eastAsia="方正小标宋简体"/>
          <w:sz w:val="38"/>
          <w:szCs w:val="38"/>
        </w:rPr>
      </w:pPr>
    </w:p>
    <w:p>
      <w:pPr>
        <w:spacing w:before="240" w:beforeLines="100" w:after="240" w:afterLines="100"/>
        <w:jc w:val="center"/>
        <w:rPr>
          <w:rFonts w:hint="eastAsia" w:ascii="方正小标宋简体" w:eastAsia="方正小标宋简体"/>
          <w:sz w:val="38"/>
          <w:szCs w:val="38"/>
        </w:rPr>
      </w:pPr>
    </w:p>
    <w:p>
      <w:pPr>
        <w:spacing w:before="240" w:beforeLines="100" w:after="240" w:afterLines="100"/>
        <w:jc w:val="center"/>
        <w:rPr>
          <w:rFonts w:hint="eastAsia" w:ascii="方正小标宋简体" w:eastAsia="方正小标宋简体"/>
          <w:sz w:val="38"/>
          <w:szCs w:val="38"/>
        </w:rPr>
      </w:pPr>
    </w:p>
    <w:p>
      <w:pPr>
        <w:spacing w:before="240" w:beforeLines="100" w:after="240" w:afterLines="100"/>
        <w:jc w:val="center"/>
        <w:rPr>
          <w:rFonts w:hint="eastAsia" w:ascii="方正小标宋简体" w:eastAsia="方正小标宋简体"/>
          <w:sz w:val="38"/>
          <w:szCs w:val="38"/>
        </w:rPr>
      </w:pPr>
    </w:p>
    <w:p>
      <w:pPr>
        <w:spacing w:before="240" w:beforeLines="100" w:after="240" w:afterLines="100"/>
        <w:jc w:val="center"/>
        <w:rPr>
          <w:rFonts w:hint="eastAsia" w:ascii="方正小标宋简体" w:eastAsia="方正小标宋简体"/>
          <w:sz w:val="38"/>
          <w:szCs w:val="38"/>
        </w:rPr>
      </w:pPr>
    </w:p>
    <w:p>
      <w:pPr>
        <w:spacing w:before="240" w:beforeLines="100" w:after="240" w:afterLines="100"/>
        <w:jc w:val="center"/>
        <w:rPr>
          <w:rFonts w:hint="eastAsia" w:ascii="方正小标宋简体" w:eastAsia="方正小标宋简体"/>
          <w:sz w:val="38"/>
          <w:szCs w:val="38"/>
        </w:rPr>
      </w:pPr>
    </w:p>
    <w:p>
      <w:pPr>
        <w:spacing w:before="240" w:beforeLines="100" w:after="240" w:afterLines="100"/>
        <w:jc w:val="center"/>
        <w:rPr>
          <w:rFonts w:hint="eastAsia" w:ascii="方正小标宋简体" w:eastAsia="方正小标宋简体"/>
          <w:sz w:val="38"/>
          <w:szCs w:val="38"/>
        </w:rPr>
      </w:pPr>
    </w:p>
    <w:p>
      <w:pPr>
        <w:spacing w:before="240" w:beforeLines="100" w:after="240" w:afterLines="100"/>
        <w:jc w:val="center"/>
        <w:rPr>
          <w:rFonts w:hint="eastAsia" w:ascii="方正小标宋简体" w:eastAsia="方正小标宋简体"/>
          <w:sz w:val="38"/>
          <w:szCs w:val="38"/>
        </w:rPr>
      </w:pPr>
    </w:p>
    <w:p>
      <w:pPr>
        <w:spacing w:before="240" w:beforeLines="100" w:after="240" w:afterLines="100"/>
        <w:jc w:val="center"/>
        <w:rPr>
          <w:rFonts w:hint="eastAsia" w:ascii="方正小标宋简体" w:eastAsia="方正小标宋简体"/>
          <w:sz w:val="38"/>
          <w:szCs w:val="38"/>
        </w:rPr>
      </w:pPr>
      <w:r>
        <w:rPr>
          <w:rFonts w:hint="eastAsia" w:ascii="方正小标宋简体" w:eastAsia="方正小标宋简体"/>
          <w:sz w:val="38"/>
          <w:szCs w:val="38"/>
        </w:rPr>
        <w:t>2020年度部门整体支出绩效自评表</w:t>
      </w:r>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4</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0</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产出</w:t>
            </w:r>
          </w:p>
          <w:p>
            <w:pPr>
              <w:widowControl/>
              <w:spacing w:line="240" w:lineRule="exact"/>
              <w:jc w:val="center"/>
              <w:rPr>
                <w:rFonts w:hint="eastAsia"/>
              </w:rPr>
            </w:pPr>
            <w:r>
              <w:rPr>
                <w:rFonts w:hint="eastAsia" w:ascii="仿宋_GB2312" w:hAnsi="宋体" w:eastAsia="仿宋_GB2312" w:cs="宋体"/>
                <w:kern w:val="0"/>
                <w:sz w:val="18"/>
                <w:szCs w:val="18"/>
              </w:rPr>
              <w:t>（25分）</w:t>
            </w:r>
          </w:p>
        </w:tc>
        <w:tc>
          <w:tcPr>
            <w:tcW w:w="939" w:type="dxa"/>
            <w:vMerge w:val="restart"/>
            <w:tcBorders>
              <w:top w:val="nil"/>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履职尽责</w:t>
            </w:r>
          </w:p>
          <w:p>
            <w:pPr>
              <w:widowControl/>
              <w:spacing w:line="240" w:lineRule="exact"/>
              <w:jc w:val="left"/>
              <w:rPr>
                <w:rFonts w:hint="eastAsia"/>
              </w:rPr>
            </w:pP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完成实绩情况</w:t>
            </w:r>
          </w:p>
        </w:tc>
        <w:tc>
          <w:tcPr>
            <w:tcW w:w="4171" w:type="dxa"/>
            <w:tcBorders>
              <w:top w:val="nil"/>
              <w:left w:val="single" w:color="auto" w:sz="4" w:space="0"/>
              <w:bottom w:val="single" w:color="auto" w:sz="4" w:space="0"/>
              <w:right w:val="single" w:color="auto" w:sz="4" w:space="0"/>
            </w:tcBorders>
            <w:shd w:val="clear" w:color="auto" w:fill="auto"/>
            <w:noWrap w:val="0"/>
            <w:vAlign w:val="center"/>
          </w:tcPr>
          <w:p>
            <w:pPr>
              <w:widowControl/>
              <w:tabs>
                <w:tab w:val="left" w:pos="1238"/>
              </w:tabs>
              <w:spacing w:line="24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（1）目标责任制全部完成，得满分；                       （2）每发生一项任务未完成的扣3分，扣完为止。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9</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9</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质量达标情况</w:t>
            </w:r>
          </w:p>
        </w:tc>
        <w:tc>
          <w:tcPr>
            <w:tcW w:w="4171"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（1）目标责任制全部达标，得满分；                       （2）每发生一项任务质量未达标的扣2分，扣完为止。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重点工作完成情况</w:t>
            </w:r>
          </w:p>
        </w:tc>
        <w:tc>
          <w:tcPr>
            <w:tcW w:w="4171"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（1）重点工作全部完成，得满分；                       （2）每发生一项重点工作未完成的扣2分，扣完为止。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vMerge w:val="restart"/>
            <w:tcBorders>
              <w:top w:val="nil"/>
              <w:left w:val="nil"/>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14</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left w:val="nil"/>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88</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bidi w:val="0"/>
        <w:jc w:val="both"/>
        <w:rPr>
          <w:rFonts w:hint="eastAsia"/>
          <w:lang w:val="en-US" w:eastAsia="zh-CN"/>
        </w:rPr>
      </w:pPr>
    </w:p>
    <w:sectPr>
      <w:footerReference r:id="rId3" w:type="default"/>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A88297"/>
    <w:multiLevelType w:val="singleLevel"/>
    <w:tmpl w:val="FCA88297"/>
    <w:lvl w:ilvl="0" w:tentative="0">
      <w:start w:val="5"/>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9D6722F"/>
    <w:multiLevelType w:val="singleLevel"/>
    <w:tmpl w:val="59D6722F"/>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41E3F"/>
    <w:rsid w:val="00055DAA"/>
    <w:rsid w:val="00061F7B"/>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10B00D5"/>
    <w:rsid w:val="01491C90"/>
    <w:rsid w:val="01AE31FF"/>
    <w:rsid w:val="01B27A03"/>
    <w:rsid w:val="01DC31E7"/>
    <w:rsid w:val="02143612"/>
    <w:rsid w:val="02144396"/>
    <w:rsid w:val="022F044F"/>
    <w:rsid w:val="024F241E"/>
    <w:rsid w:val="025728DE"/>
    <w:rsid w:val="0273522C"/>
    <w:rsid w:val="031E3BF1"/>
    <w:rsid w:val="03313BC4"/>
    <w:rsid w:val="037B41C0"/>
    <w:rsid w:val="03EB5115"/>
    <w:rsid w:val="03F470D9"/>
    <w:rsid w:val="04570F7B"/>
    <w:rsid w:val="04631DC4"/>
    <w:rsid w:val="047D14AF"/>
    <w:rsid w:val="048C57C7"/>
    <w:rsid w:val="04B1268B"/>
    <w:rsid w:val="04D84645"/>
    <w:rsid w:val="050F0155"/>
    <w:rsid w:val="05223F4F"/>
    <w:rsid w:val="05EA2C74"/>
    <w:rsid w:val="05EF4166"/>
    <w:rsid w:val="06474A8E"/>
    <w:rsid w:val="06A30EC6"/>
    <w:rsid w:val="07332B2B"/>
    <w:rsid w:val="077F4ADA"/>
    <w:rsid w:val="079D2B64"/>
    <w:rsid w:val="07CA2779"/>
    <w:rsid w:val="082C6986"/>
    <w:rsid w:val="084E5C7A"/>
    <w:rsid w:val="08732161"/>
    <w:rsid w:val="089C6D70"/>
    <w:rsid w:val="08C92E7C"/>
    <w:rsid w:val="09356365"/>
    <w:rsid w:val="0955258E"/>
    <w:rsid w:val="096F65C3"/>
    <w:rsid w:val="097130DE"/>
    <w:rsid w:val="09872301"/>
    <w:rsid w:val="099728CA"/>
    <w:rsid w:val="0A80662A"/>
    <w:rsid w:val="0B4B44C6"/>
    <w:rsid w:val="0B660147"/>
    <w:rsid w:val="0B77415C"/>
    <w:rsid w:val="0C30140B"/>
    <w:rsid w:val="0C996D35"/>
    <w:rsid w:val="0CA96380"/>
    <w:rsid w:val="0CBE3F1B"/>
    <w:rsid w:val="0CC35C1A"/>
    <w:rsid w:val="0CD574E5"/>
    <w:rsid w:val="0D674027"/>
    <w:rsid w:val="0D754F89"/>
    <w:rsid w:val="0D8028C5"/>
    <w:rsid w:val="0DF3277C"/>
    <w:rsid w:val="0DF84888"/>
    <w:rsid w:val="0E0D71D8"/>
    <w:rsid w:val="0E122A8C"/>
    <w:rsid w:val="0E170A1D"/>
    <w:rsid w:val="0E330078"/>
    <w:rsid w:val="0E580041"/>
    <w:rsid w:val="0E664567"/>
    <w:rsid w:val="0EA75DFA"/>
    <w:rsid w:val="0ED7487F"/>
    <w:rsid w:val="0F795F44"/>
    <w:rsid w:val="0FA169DF"/>
    <w:rsid w:val="0FB93941"/>
    <w:rsid w:val="0FD229C8"/>
    <w:rsid w:val="1059203F"/>
    <w:rsid w:val="10704846"/>
    <w:rsid w:val="10E105AD"/>
    <w:rsid w:val="110E4D51"/>
    <w:rsid w:val="114D23E4"/>
    <w:rsid w:val="118F6FEE"/>
    <w:rsid w:val="11C52AB9"/>
    <w:rsid w:val="122C1910"/>
    <w:rsid w:val="12864C7A"/>
    <w:rsid w:val="129E7DB4"/>
    <w:rsid w:val="12A81A68"/>
    <w:rsid w:val="12C80857"/>
    <w:rsid w:val="12E043B6"/>
    <w:rsid w:val="12E76734"/>
    <w:rsid w:val="131A242A"/>
    <w:rsid w:val="13300F60"/>
    <w:rsid w:val="13CD092E"/>
    <w:rsid w:val="13F84D41"/>
    <w:rsid w:val="144255A6"/>
    <w:rsid w:val="14951D91"/>
    <w:rsid w:val="149A6C7C"/>
    <w:rsid w:val="14DD141C"/>
    <w:rsid w:val="150B1514"/>
    <w:rsid w:val="15355B29"/>
    <w:rsid w:val="155C598F"/>
    <w:rsid w:val="15755C04"/>
    <w:rsid w:val="15D11C34"/>
    <w:rsid w:val="161D26AA"/>
    <w:rsid w:val="163A7018"/>
    <w:rsid w:val="16711A68"/>
    <w:rsid w:val="169D219D"/>
    <w:rsid w:val="16BB07E9"/>
    <w:rsid w:val="170D50C7"/>
    <w:rsid w:val="17D11B8B"/>
    <w:rsid w:val="180910DE"/>
    <w:rsid w:val="18713998"/>
    <w:rsid w:val="188C2595"/>
    <w:rsid w:val="18B51DB3"/>
    <w:rsid w:val="19122615"/>
    <w:rsid w:val="197B663A"/>
    <w:rsid w:val="1A483DC6"/>
    <w:rsid w:val="1A6E4D97"/>
    <w:rsid w:val="1B157273"/>
    <w:rsid w:val="1B5B7B9C"/>
    <w:rsid w:val="1B66272B"/>
    <w:rsid w:val="1B77451A"/>
    <w:rsid w:val="1BE1698D"/>
    <w:rsid w:val="1BFD66BC"/>
    <w:rsid w:val="1C2E6A85"/>
    <w:rsid w:val="1C3761DE"/>
    <w:rsid w:val="1C86434B"/>
    <w:rsid w:val="1D167B42"/>
    <w:rsid w:val="1D5F6648"/>
    <w:rsid w:val="1DDD4F42"/>
    <w:rsid w:val="1E0E023A"/>
    <w:rsid w:val="1E5C172C"/>
    <w:rsid w:val="1F1827FA"/>
    <w:rsid w:val="1F777D4B"/>
    <w:rsid w:val="1FB36282"/>
    <w:rsid w:val="1FC67C64"/>
    <w:rsid w:val="1FE83523"/>
    <w:rsid w:val="1FF57DD3"/>
    <w:rsid w:val="202E2E72"/>
    <w:rsid w:val="2087400F"/>
    <w:rsid w:val="20D51213"/>
    <w:rsid w:val="21FE3FBE"/>
    <w:rsid w:val="22867E39"/>
    <w:rsid w:val="22AF305E"/>
    <w:rsid w:val="233B75C6"/>
    <w:rsid w:val="238F2D2D"/>
    <w:rsid w:val="241A39DA"/>
    <w:rsid w:val="249B17B0"/>
    <w:rsid w:val="24D86D0A"/>
    <w:rsid w:val="25416252"/>
    <w:rsid w:val="25526627"/>
    <w:rsid w:val="25A26575"/>
    <w:rsid w:val="25BF2122"/>
    <w:rsid w:val="25DB30BA"/>
    <w:rsid w:val="25DD67CC"/>
    <w:rsid w:val="2604563A"/>
    <w:rsid w:val="26CF363B"/>
    <w:rsid w:val="274F0426"/>
    <w:rsid w:val="27536326"/>
    <w:rsid w:val="27B62805"/>
    <w:rsid w:val="27DB4955"/>
    <w:rsid w:val="28B16754"/>
    <w:rsid w:val="292C047C"/>
    <w:rsid w:val="29364B02"/>
    <w:rsid w:val="2962699D"/>
    <w:rsid w:val="29713EE3"/>
    <w:rsid w:val="2A2E6336"/>
    <w:rsid w:val="2A561ED0"/>
    <w:rsid w:val="2A8812D1"/>
    <w:rsid w:val="2AC300AC"/>
    <w:rsid w:val="2AD35A5F"/>
    <w:rsid w:val="2B964115"/>
    <w:rsid w:val="2CC340E1"/>
    <w:rsid w:val="2CED13D0"/>
    <w:rsid w:val="2D2232A6"/>
    <w:rsid w:val="2D795C9A"/>
    <w:rsid w:val="2DC6121F"/>
    <w:rsid w:val="2DD06D35"/>
    <w:rsid w:val="2DFA6D6E"/>
    <w:rsid w:val="2E3B08CF"/>
    <w:rsid w:val="2E3F6E42"/>
    <w:rsid w:val="2E65423A"/>
    <w:rsid w:val="2EEB480D"/>
    <w:rsid w:val="2F2E3225"/>
    <w:rsid w:val="2F4915B1"/>
    <w:rsid w:val="2F767206"/>
    <w:rsid w:val="303A7124"/>
    <w:rsid w:val="308235B3"/>
    <w:rsid w:val="30AA6719"/>
    <w:rsid w:val="30AC4765"/>
    <w:rsid w:val="30C868EA"/>
    <w:rsid w:val="30C92FF6"/>
    <w:rsid w:val="30CC3775"/>
    <w:rsid w:val="310A3F18"/>
    <w:rsid w:val="31102289"/>
    <w:rsid w:val="31214D25"/>
    <w:rsid w:val="31767633"/>
    <w:rsid w:val="31BA5A23"/>
    <w:rsid w:val="332A054F"/>
    <w:rsid w:val="336A5E4F"/>
    <w:rsid w:val="33D87460"/>
    <w:rsid w:val="33F81E8A"/>
    <w:rsid w:val="34206F08"/>
    <w:rsid w:val="3427626A"/>
    <w:rsid w:val="343C1009"/>
    <w:rsid w:val="34473F3A"/>
    <w:rsid w:val="345B2B43"/>
    <w:rsid w:val="346505E2"/>
    <w:rsid w:val="34BC40B9"/>
    <w:rsid w:val="34D034C1"/>
    <w:rsid w:val="35031966"/>
    <w:rsid w:val="352713D7"/>
    <w:rsid w:val="35510BF7"/>
    <w:rsid w:val="35612E69"/>
    <w:rsid w:val="356E7EF8"/>
    <w:rsid w:val="35833297"/>
    <w:rsid w:val="35A82630"/>
    <w:rsid w:val="36460FF7"/>
    <w:rsid w:val="37CC01ED"/>
    <w:rsid w:val="37E638B5"/>
    <w:rsid w:val="39776839"/>
    <w:rsid w:val="39E0257F"/>
    <w:rsid w:val="3A8E68B3"/>
    <w:rsid w:val="3AE4666D"/>
    <w:rsid w:val="3B1C1CDC"/>
    <w:rsid w:val="3B31553E"/>
    <w:rsid w:val="3B7D779C"/>
    <w:rsid w:val="3BDC79E9"/>
    <w:rsid w:val="3C076C11"/>
    <w:rsid w:val="3C9015EA"/>
    <w:rsid w:val="3CA3181A"/>
    <w:rsid w:val="3D425338"/>
    <w:rsid w:val="3D4C1796"/>
    <w:rsid w:val="3D57759B"/>
    <w:rsid w:val="3DF57935"/>
    <w:rsid w:val="3E76178A"/>
    <w:rsid w:val="3E8F27A2"/>
    <w:rsid w:val="3F040427"/>
    <w:rsid w:val="3F131A04"/>
    <w:rsid w:val="3F41705C"/>
    <w:rsid w:val="3F8A2454"/>
    <w:rsid w:val="3F9550C8"/>
    <w:rsid w:val="40437D7B"/>
    <w:rsid w:val="40854A02"/>
    <w:rsid w:val="415E772C"/>
    <w:rsid w:val="415F7EFB"/>
    <w:rsid w:val="41947951"/>
    <w:rsid w:val="41A6263D"/>
    <w:rsid w:val="41CB4E3B"/>
    <w:rsid w:val="42670763"/>
    <w:rsid w:val="42BB2388"/>
    <w:rsid w:val="43AE6065"/>
    <w:rsid w:val="43B5157A"/>
    <w:rsid w:val="43BA5B8D"/>
    <w:rsid w:val="43D41C59"/>
    <w:rsid w:val="440D1F37"/>
    <w:rsid w:val="44134842"/>
    <w:rsid w:val="442C23E8"/>
    <w:rsid w:val="447975C4"/>
    <w:rsid w:val="449F4132"/>
    <w:rsid w:val="44BA3785"/>
    <w:rsid w:val="44C00095"/>
    <w:rsid w:val="45482AF1"/>
    <w:rsid w:val="465343AF"/>
    <w:rsid w:val="46B15F5E"/>
    <w:rsid w:val="46BC7BD7"/>
    <w:rsid w:val="47160046"/>
    <w:rsid w:val="479F778C"/>
    <w:rsid w:val="47B93EA2"/>
    <w:rsid w:val="47EC2E70"/>
    <w:rsid w:val="47F64E67"/>
    <w:rsid w:val="480073A8"/>
    <w:rsid w:val="485151CA"/>
    <w:rsid w:val="488C4A18"/>
    <w:rsid w:val="48B73D10"/>
    <w:rsid w:val="48E70D2A"/>
    <w:rsid w:val="49116F5D"/>
    <w:rsid w:val="493A6B2B"/>
    <w:rsid w:val="496A0867"/>
    <w:rsid w:val="49C0732D"/>
    <w:rsid w:val="49CF6773"/>
    <w:rsid w:val="4A7862D7"/>
    <w:rsid w:val="4AB338BA"/>
    <w:rsid w:val="4AFA18A9"/>
    <w:rsid w:val="4B743FD4"/>
    <w:rsid w:val="4BB31299"/>
    <w:rsid w:val="4BDB3986"/>
    <w:rsid w:val="4C4F56F2"/>
    <w:rsid w:val="4D0014B7"/>
    <w:rsid w:val="4D3E7582"/>
    <w:rsid w:val="4D991D50"/>
    <w:rsid w:val="4DEA3104"/>
    <w:rsid w:val="4E1705CE"/>
    <w:rsid w:val="4E62201B"/>
    <w:rsid w:val="4E72487A"/>
    <w:rsid w:val="4E8A3830"/>
    <w:rsid w:val="4E94104C"/>
    <w:rsid w:val="4EC41439"/>
    <w:rsid w:val="4EC917FF"/>
    <w:rsid w:val="4ECA308F"/>
    <w:rsid w:val="4ECE25CA"/>
    <w:rsid w:val="4F81188C"/>
    <w:rsid w:val="4FAF0311"/>
    <w:rsid w:val="504D23F6"/>
    <w:rsid w:val="505E0952"/>
    <w:rsid w:val="509E5E26"/>
    <w:rsid w:val="50A74D0D"/>
    <w:rsid w:val="50E15EA7"/>
    <w:rsid w:val="511F6971"/>
    <w:rsid w:val="51324086"/>
    <w:rsid w:val="518A117F"/>
    <w:rsid w:val="51BE0127"/>
    <w:rsid w:val="51BF3616"/>
    <w:rsid w:val="52083D17"/>
    <w:rsid w:val="52215C89"/>
    <w:rsid w:val="52A212F6"/>
    <w:rsid w:val="52EC2BBE"/>
    <w:rsid w:val="531F77C8"/>
    <w:rsid w:val="53340F91"/>
    <w:rsid w:val="534124A8"/>
    <w:rsid w:val="53587BD7"/>
    <w:rsid w:val="53776EC7"/>
    <w:rsid w:val="53F675C3"/>
    <w:rsid w:val="540E00A4"/>
    <w:rsid w:val="54244484"/>
    <w:rsid w:val="547C3CFA"/>
    <w:rsid w:val="5524379A"/>
    <w:rsid w:val="55E433D7"/>
    <w:rsid w:val="562F0AE8"/>
    <w:rsid w:val="5641188B"/>
    <w:rsid w:val="56640D78"/>
    <w:rsid w:val="568F45F9"/>
    <w:rsid w:val="56982B1E"/>
    <w:rsid w:val="56A145A3"/>
    <w:rsid w:val="56AB3AB8"/>
    <w:rsid w:val="57045123"/>
    <w:rsid w:val="571751CA"/>
    <w:rsid w:val="57693504"/>
    <w:rsid w:val="578A1BE0"/>
    <w:rsid w:val="57A1206A"/>
    <w:rsid w:val="57B5368F"/>
    <w:rsid w:val="58A80E99"/>
    <w:rsid w:val="58EF341C"/>
    <w:rsid w:val="591F5392"/>
    <w:rsid w:val="59547280"/>
    <w:rsid w:val="5A1210C6"/>
    <w:rsid w:val="5A855E0D"/>
    <w:rsid w:val="5AAB29B6"/>
    <w:rsid w:val="5ADF3ED0"/>
    <w:rsid w:val="5AEA3A68"/>
    <w:rsid w:val="5B0E1A7E"/>
    <w:rsid w:val="5B2B2A2C"/>
    <w:rsid w:val="5B3E5986"/>
    <w:rsid w:val="5B9A039E"/>
    <w:rsid w:val="5C0642A2"/>
    <w:rsid w:val="5C4E7B5B"/>
    <w:rsid w:val="5C9671CD"/>
    <w:rsid w:val="5CB50C2A"/>
    <w:rsid w:val="5CCD2C00"/>
    <w:rsid w:val="5CEA04D2"/>
    <w:rsid w:val="5D205760"/>
    <w:rsid w:val="5D5A4F7D"/>
    <w:rsid w:val="5DB37B41"/>
    <w:rsid w:val="5DCB3372"/>
    <w:rsid w:val="5DD015C4"/>
    <w:rsid w:val="5DD5719C"/>
    <w:rsid w:val="5DFF0A54"/>
    <w:rsid w:val="5E3A61DE"/>
    <w:rsid w:val="5EC96558"/>
    <w:rsid w:val="5F532BD9"/>
    <w:rsid w:val="60CE6A18"/>
    <w:rsid w:val="60F55DA1"/>
    <w:rsid w:val="61D71703"/>
    <w:rsid w:val="61E65209"/>
    <w:rsid w:val="620822E1"/>
    <w:rsid w:val="62385CC1"/>
    <w:rsid w:val="625E606B"/>
    <w:rsid w:val="633066B4"/>
    <w:rsid w:val="63965B5C"/>
    <w:rsid w:val="63AC0842"/>
    <w:rsid w:val="63D844DE"/>
    <w:rsid w:val="64205B94"/>
    <w:rsid w:val="645E67C3"/>
    <w:rsid w:val="646516EB"/>
    <w:rsid w:val="64737011"/>
    <w:rsid w:val="64B60422"/>
    <w:rsid w:val="64D369B5"/>
    <w:rsid w:val="653648DF"/>
    <w:rsid w:val="65F77D9A"/>
    <w:rsid w:val="660D601B"/>
    <w:rsid w:val="66194DFE"/>
    <w:rsid w:val="6666038D"/>
    <w:rsid w:val="6684149A"/>
    <w:rsid w:val="66B91784"/>
    <w:rsid w:val="6707593D"/>
    <w:rsid w:val="6765533E"/>
    <w:rsid w:val="6771209B"/>
    <w:rsid w:val="67D369B4"/>
    <w:rsid w:val="67FE0647"/>
    <w:rsid w:val="6862632D"/>
    <w:rsid w:val="6866710A"/>
    <w:rsid w:val="688F1DAA"/>
    <w:rsid w:val="689A2540"/>
    <w:rsid w:val="69264249"/>
    <w:rsid w:val="69796B50"/>
    <w:rsid w:val="69822972"/>
    <w:rsid w:val="698550A6"/>
    <w:rsid w:val="69BE5047"/>
    <w:rsid w:val="6A156237"/>
    <w:rsid w:val="6A3C4A02"/>
    <w:rsid w:val="6AC85649"/>
    <w:rsid w:val="6AD82102"/>
    <w:rsid w:val="6AEC1E1A"/>
    <w:rsid w:val="6AF35CE1"/>
    <w:rsid w:val="6BCF15E0"/>
    <w:rsid w:val="6C372584"/>
    <w:rsid w:val="6C4568F8"/>
    <w:rsid w:val="6CBC459A"/>
    <w:rsid w:val="6D4B316C"/>
    <w:rsid w:val="6DB51591"/>
    <w:rsid w:val="6DF60CC2"/>
    <w:rsid w:val="6E1E5F96"/>
    <w:rsid w:val="6E5D2751"/>
    <w:rsid w:val="6EB753B7"/>
    <w:rsid w:val="6EBB452D"/>
    <w:rsid w:val="6EBE4C00"/>
    <w:rsid w:val="6ECD17FC"/>
    <w:rsid w:val="6EFD4D8D"/>
    <w:rsid w:val="6F5838B8"/>
    <w:rsid w:val="6F721F94"/>
    <w:rsid w:val="6FC66F55"/>
    <w:rsid w:val="70007E4E"/>
    <w:rsid w:val="70131C22"/>
    <w:rsid w:val="70E755AB"/>
    <w:rsid w:val="71D476AD"/>
    <w:rsid w:val="72027128"/>
    <w:rsid w:val="721C285F"/>
    <w:rsid w:val="722B0B86"/>
    <w:rsid w:val="722D2742"/>
    <w:rsid w:val="7238049E"/>
    <w:rsid w:val="725B4094"/>
    <w:rsid w:val="72635DD5"/>
    <w:rsid w:val="72B317FB"/>
    <w:rsid w:val="736F4EAD"/>
    <w:rsid w:val="73973570"/>
    <w:rsid w:val="73F22A13"/>
    <w:rsid w:val="744F2F62"/>
    <w:rsid w:val="746E1802"/>
    <w:rsid w:val="759E593E"/>
    <w:rsid w:val="75E62C07"/>
    <w:rsid w:val="75EC3824"/>
    <w:rsid w:val="764C617E"/>
    <w:rsid w:val="76552EAA"/>
    <w:rsid w:val="76AD58E0"/>
    <w:rsid w:val="76AF7B4A"/>
    <w:rsid w:val="76BB2DCA"/>
    <w:rsid w:val="77265191"/>
    <w:rsid w:val="783C2D59"/>
    <w:rsid w:val="78DE1E1A"/>
    <w:rsid w:val="792C272E"/>
    <w:rsid w:val="79744C3A"/>
    <w:rsid w:val="7A6B165C"/>
    <w:rsid w:val="7AD32C01"/>
    <w:rsid w:val="7AD3458B"/>
    <w:rsid w:val="7AE20CE3"/>
    <w:rsid w:val="7AE768A3"/>
    <w:rsid w:val="7AE80008"/>
    <w:rsid w:val="7C0374E0"/>
    <w:rsid w:val="7C581699"/>
    <w:rsid w:val="7C8F36ED"/>
    <w:rsid w:val="7CDC13B8"/>
    <w:rsid w:val="7CF40BF1"/>
    <w:rsid w:val="7CF56BA3"/>
    <w:rsid w:val="7D3E581F"/>
    <w:rsid w:val="7D51140C"/>
    <w:rsid w:val="7DF6517C"/>
    <w:rsid w:val="7E04378C"/>
    <w:rsid w:val="7E1138EC"/>
    <w:rsid w:val="7E480635"/>
    <w:rsid w:val="7E9D1484"/>
    <w:rsid w:val="7E9E4861"/>
    <w:rsid w:val="7EA16C8F"/>
    <w:rsid w:val="7F30227F"/>
    <w:rsid w:val="7F344E83"/>
    <w:rsid w:val="7F3F31FD"/>
    <w:rsid w:val="7FE05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样式 文字 + 首行缩进:  2 字符3"/>
    <w:basedOn w:val="1"/>
    <w:qFormat/>
    <w:uiPriority w:val="0"/>
    <w:pPr>
      <w:spacing w:line="360" w:lineRule="auto"/>
      <w:jc w:val="left"/>
    </w:pPr>
    <w:rPr>
      <w:sz w:val="28"/>
      <w:szCs w:val="28"/>
    </w:r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8"/>
    <w:link w:val="3"/>
    <w:semiHidden/>
    <w:qFormat/>
    <w:uiPriority w:val="99"/>
    <w:rPr>
      <w:sz w:val="18"/>
      <w:szCs w:val="18"/>
    </w:rPr>
  </w:style>
  <w:style w:type="character" w:customStyle="1" w:styleId="14">
    <w:name w:val="font11"/>
    <w:basedOn w:val="8"/>
    <w:qFormat/>
    <w:uiPriority w:val="0"/>
    <w:rPr>
      <w:rFonts w:hint="default" w:ascii="仿宋_GB2312" w:eastAsia="仿宋_GB2312" w:cs="仿宋_GB2312"/>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8E8E99-0876-4457-84BE-74A901AF77D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1308</Words>
  <Characters>7462</Characters>
  <Lines>62</Lines>
  <Paragraphs>17</Paragraphs>
  <TotalTime>20</TotalTime>
  <ScaleCrop>false</ScaleCrop>
  <LinksUpToDate>false</LinksUpToDate>
  <CharactersWithSpaces>8753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2021-09-03T08:28:00Z</cp:lastPrinted>
  <dcterms:modified xsi:type="dcterms:W3CDTF">2021-09-20T08:54:33Z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BDE8044252784D0A93C357E342DC4CDF</vt:lpwstr>
  </property>
</Properties>
</file>