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jc w:val="center"/>
        <w:rPr>
          <w:rFonts w:ascii="黑体" w:hAnsi="黑体" w:eastAsia="黑体" w:cs="Times New Roman"/>
          <w:bCs/>
          <w:kern w:val="0"/>
          <w:sz w:val="84"/>
          <w:szCs w:val="84"/>
        </w:rPr>
      </w:pPr>
    </w:p>
    <w:p>
      <w:pPr>
        <w:pStyle w:val="12"/>
        <w:jc w:val="center"/>
        <w:rPr>
          <w:rFonts w:ascii="黑体" w:hAnsi="黑体" w:eastAsia="黑体" w:cs="Times New Roman"/>
          <w:bCs/>
          <w:kern w:val="0"/>
          <w:sz w:val="84"/>
          <w:szCs w:val="84"/>
        </w:rPr>
      </w:pPr>
    </w:p>
    <w:p>
      <w:pPr>
        <w:pStyle w:val="12"/>
        <w:jc w:val="center"/>
        <w:rPr>
          <w:rFonts w:ascii="黑体" w:hAnsi="黑体" w:eastAsia="黑体" w:cs="Times New Roman"/>
          <w:bCs/>
          <w:kern w:val="0"/>
          <w:sz w:val="84"/>
          <w:szCs w:val="84"/>
        </w:rPr>
      </w:pPr>
    </w:p>
    <w:p>
      <w:pPr>
        <w:pStyle w:val="12"/>
        <w:jc w:val="center"/>
        <w:rPr>
          <w:rFonts w:ascii="黑体" w:hAnsi="黑体" w:eastAsia="黑体" w:cs="Times New Roman"/>
          <w:bCs/>
          <w:kern w:val="0"/>
          <w:sz w:val="84"/>
          <w:szCs w:val="84"/>
        </w:rPr>
      </w:pPr>
      <w:bookmarkStart w:id="24" w:name="_GoBack"/>
      <w:r>
        <w:rPr>
          <w:rFonts w:ascii="黑体" w:hAnsi="黑体" w:eastAsia="黑体" w:cs="Times New Roman"/>
          <w:bCs/>
          <w:kern w:val="0"/>
          <w:sz w:val="84"/>
          <w:szCs w:val="84"/>
        </w:rPr>
        <w:t>201</w:t>
      </w:r>
      <w:r>
        <w:rPr>
          <w:rFonts w:hint="eastAsia" w:ascii="黑体" w:hAnsi="黑体" w:eastAsia="黑体" w:cs="Times New Roman"/>
          <w:bCs/>
          <w:kern w:val="0"/>
          <w:sz w:val="84"/>
          <w:szCs w:val="84"/>
          <w:lang w:val="en-US" w:eastAsia="zh-CN"/>
        </w:rPr>
        <w:t>8</w:t>
      </w:r>
      <w:r>
        <w:rPr>
          <w:rFonts w:ascii="黑体" w:hAnsi="黑体" w:eastAsia="黑体" w:cs="Times New Roman"/>
          <w:bCs/>
          <w:kern w:val="0"/>
          <w:sz w:val="84"/>
          <w:szCs w:val="84"/>
        </w:rPr>
        <w:t>年</w:t>
      </w:r>
      <w:r>
        <w:rPr>
          <w:rFonts w:hint="eastAsia" w:ascii="黑体" w:hAnsi="黑体" w:eastAsia="黑体" w:cs="Times New Roman"/>
          <w:bCs/>
          <w:kern w:val="0"/>
          <w:sz w:val="84"/>
          <w:szCs w:val="84"/>
        </w:rPr>
        <w:t>度</w:t>
      </w:r>
    </w:p>
    <w:p>
      <w:pPr>
        <w:widowControl/>
        <w:jc w:val="center"/>
        <w:rPr>
          <w:rFonts w:hint="eastAsia" w:ascii="黑体" w:hAnsi="黑体" w:eastAsia="黑体" w:cs="Times New Roman"/>
          <w:bCs/>
          <w:kern w:val="0"/>
          <w:sz w:val="84"/>
          <w:szCs w:val="84"/>
          <w:lang w:eastAsia="zh-CN"/>
        </w:rPr>
      </w:pPr>
      <w:r>
        <w:rPr>
          <w:rFonts w:hint="eastAsia" w:ascii="黑体" w:hAnsi="黑体" w:eastAsia="黑体" w:cs="Times New Roman"/>
          <w:bCs/>
          <w:kern w:val="0"/>
          <w:sz w:val="84"/>
          <w:szCs w:val="84"/>
        </w:rPr>
        <w:t>永州市文</w:t>
      </w:r>
      <w:r>
        <w:rPr>
          <w:rFonts w:hint="eastAsia" w:ascii="黑体" w:hAnsi="黑体" w:eastAsia="黑体" w:cs="Times New Roman"/>
          <w:bCs/>
          <w:kern w:val="0"/>
          <w:sz w:val="84"/>
          <w:szCs w:val="84"/>
          <w:lang w:eastAsia="zh-CN"/>
        </w:rPr>
        <w:t>学艺术界联</w:t>
      </w:r>
    </w:p>
    <w:p>
      <w:pPr>
        <w:pStyle w:val="12"/>
        <w:jc w:val="center"/>
        <w:rPr>
          <w:sz w:val="84"/>
          <w:szCs w:val="84"/>
        </w:rPr>
      </w:pPr>
      <w:r>
        <w:rPr>
          <w:rFonts w:hint="eastAsia" w:ascii="黑体" w:hAnsi="黑体" w:eastAsia="黑体" w:cs="Times New Roman"/>
          <w:bCs/>
          <w:kern w:val="0"/>
          <w:sz w:val="84"/>
          <w:szCs w:val="84"/>
          <w:lang w:eastAsia="zh-CN"/>
        </w:rPr>
        <w:t>合会</w:t>
      </w:r>
      <w:r>
        <w:rPr>
          <w:rFonts w:hint="eastAsia"/>
          <w:sz w:val="84"/>
          <w:szCs w:val="84"/>
        </w:rPr>
        <w:t>部门决算</w:t>
      </w:r>
      <w:bookmarkEnd w:id="24"/>
    </w:p>
    <w:p>
      <w:pPr>
        <w:pStyle w:val="12"/>
        <w:jc w:val="center"/>
        <w:rPr>
          <w:sz w:val="56"/>
          <w:szCs w:val="56"/>
        </w:rPr>
      </w:pPr>
    </w:p>
    <w:p>
      <w:pPr>
        <w:pStyle w:val="12"/>
        <w:jc w:val="center"/>
        <w:rPr>
          <w:sz w:val="56"/>
          <w:szCs w:val="56"/>
        </w:rPr>
      </w:pPr>
    </w:p>
    <w:p>
      <w:pPr>
        <w:pStyle w:val="12"/>
        <w:jc w:val="center"/>
        <w:rPr>
          <w:sz w:val="56"/>
          <w:szCs w:val="56"/>
        </w:rPr>
      </w:pPr>
    </w:p>
    <w:p>
      <w:pPr>
        <w:pStyle w:val="12"/>
        <w:jc w:val="center"/>
        <w:rPr>
          <w:sz w:val="56"/>
          <w:szCs w:val="56"/>
        </w:rPr>
      </w:pPr>
    </w:p>
    <w:p>
      <w:pPr>
        <w:pStyle w:val="12"/>
        <w:jc w:val="center"/>
        <w:rPr>
          <w:sz w:val="56"/>
          <w:szCs w:val="56"/>
        </w:rPr>
      </w:pPr>
    </w:p>
    <w:p>
      <w:pPr>
        <w:pStyle w:val="12"/>
        <w:spacing w:line="520" w:lineRule="exact"/>
        <w:ind w:firstLine="3920" w:firstLineChars="700"/>
        <w:jc w:val="both"/>
        <w:rPr>
          <w:rFonts w:hint="eastAsia"/>
          <w:sz w:val="56"/>
          <w:szCs w:val="56"/>
        </w:rPr>
      </w:pPr>
    </w:p>
    <w:p>
      <w:pPr>
        <w:pStyle w:val="12"/>
        <w:spacing w:line="520" w:lineRule="exact"/>
        <w:ind w:firstLine="3920" w:firstLineChars="700"/>
        <w:jc w:val="both"/>
        <w:rPr>
          <w:rFonts w:hint="eastAsia"/>
          <w:sz w:val="56"/>
          <w:szCs w:val="56"/>
        </w:rPr>
      </w:pPr>
    </w:p>
    <w:p>
      <w:pPr>
        <w:pStyle w:val="12"/>
        <w:spacing w:line="520" w:lineRule="exact"/>
        <w:ind w:firstLine="3920" w:firstLineChars="700"/>
        <w:jc w:val="both"/>
        <w:rPr>
          <w:rFonts w:hint="eastAsia"/>
          <w:sz w:val="56"/>
          <w:szCs w:val="56"/>
        </w:rPr>
      </w:pPr>
    </w:p>
    <w:p>
      <w:pPr>
        <w:pStyle w:val="12"/>
        <w:spacing w:line="520" w:lineRule="exact"/>
        <w:ind w:firstLine="3920" w:firstLineChars="700"/>
        <w:jc w:val="both"/>
        <w:rPr>
          <w:sz w:val="56"/>
          <w:szCs w:val="56"/>
        </w:rPr>
      </w:pPr>
      <w:r>
        <w:rPr>
          <w:rFonts w:hint="eastAsia"/>
          <w:sz w:val="56"/>
          <w:szCs w:val="56"/>
        </w:rPr>
        <w:t>目</w:t>
      </w:r>
      <w:r>
        <w:rPr>
          <w:rFonts w:hint="eastAsia"/>
          <w:sz w:val="56"/>
          <w:szCs w:val="56"/>
          <w:lang w:val="en-US" w:eastAsia="zh-CN"/>
        </w:rPr>
        <w:t xml:space="preserve"> </w:t>
      </w:r>
      <w:r>
        <w:rPr>
          <w:rFonts w:hint="eastAsia"/>
          <w:sz w:val="56"/>
          <w:szCs w:val="56"/>
        </w:rPr>
        <w:t>录</w:t>
      </w:r>
    </w:p>
    <w:p>
      <w:pPr>
        <w:pStyle w:val="12"/>
        <w:spacing w:line="520" w:lineRule="exact"/>
        <w:rPr>
          <w:rFonts w:hint="eastAsia"/>
          <w:b/>
          <w:sz w:val="28"/>
          <w:szCs w:val="28"/>
        </w:rPr>
      </w:pPr>
    </w:p>
    <w:p>
      <w:pPr>
        <w:pStyle w:val="12"/>
        <w:spacing w:line="520" w:lineRule="exact"/>
        <w:rPr>
          <w:rFonts w:ascii="仿宋_GB2312" w:hAnsi="仿宋_GB2312" w:cs="仿宋_GB2312"/>
          <w:b/>
          <w:sz w:val="28"/>
          <w:szCs w:val="28"/>
        </w:rPr>
      </w:pPr>
      <w:r>
        <w:rPr>
          <w:rFonts w:hint="eastAsia"/>
          <w:b/>
          <w:sz w:val="28"/>
          <w:szCs w:val="28"/>
        </w:rPr>
        <w:t>第一部分永州市文联单位概况</w:t>
      </w:r>
    </w:p>
    <w:p>
      <w:pPr>
        <w:pStyle w:val="12"/>
        <w:spacing w:line="520" w:lineRule="exact"/>
        <w:ind w:firstLine="700" w:firstLineChars="250"/>
        <w:rPr>
          <w:rFonts w:cs="仿宋_GB2312" w:asciiTheme="minorEastAsia" w:hAnsiTheme="minorEastAsia" w:eastAsiaTheme="minorEastAsia"/>
          <w:sz w:val="28"/>
          <w:szCs w:val="28"/>
        </w:rPr>
      </w:pPr>
      <w:r>
        <w:rPr>
          <w:rFonts w:cs="仿宋_GB2312" w:asciiTheme="minorEastAsia" w:hAnsiTheme="minorEastAsia" w:eastAsiaTheme="minorEastAsia"/>
          <w:sz w:val="28"/>
          <w:szCs w:val="28"/>
        </w:rPr>
        <w:t>一、部门职责</w:t>
      </w:r>
    </w:p>
    <w:p>
      <w:pPr>
        <w:pStyle w:val="12"/>
        <w:spacing w:line="520" w:lineRule="exact"/>
        <w:ind w:firstLine="700" w:firstLineChars="250"/>
        <w:rPr>
          <w:rFonts w:cs="仿宋_GB2312" w:asciiTheme="minorEastAsia" w:hAnsiTheme="minorEastAsia" w:eastAsiaTheme="minorEastAsia"/>
          <w:sz w:val="28"/>
          <w:szCs w:val="28"/>
        </w:rPr>
      </w:pPr>
      <w:r>
        <w:rPr>
          <w:rFonts w:cs="仿宋_GB2312" w:asciiTheme="minorEastAsia" w:hAnsiTheme="minorEastAsia" w:eastAsiaTheme="minorEastAsia"/>
          <w:sz w:val="28"/>
          <w:szCs w:val="28"/>
        </w:rPr>
        <w:t>二、机构设置</w:t>
      </w:r>
    </w:p>
    <w:p>
      <w:pPr>
        <w:pStyle w:val="12"/>
        <w:spacing w:line="520" w:lineRule="exact"/>
        <w:rPr>
          <w:rFonts w:ascii="仿宋_GB2312" w:hAnsi="仿宋_GB2312" w:cs="仿宋_GB2312"/>
          <w:b/>
          <w:sz w:val="28"/>
          <w:szCs w:val="28"/>
        </w:rPr>
      </w:pPr>
      <w:r>
        <w:rPr>
          <w:rFonts w:hint="eastAsia" w:hAnsi="仿宋_GB2312"/>
          <w:b/>
          <w:sz w:val="28"/>
          <w:szCs w:val="28"/>
        </w:rPr>
        <w:t>第二部分</w:t>
      </w:r>
      <w:r>
        <w:rPr>
          <w:rFonts w:hAnsi="仿宋_GB2312"/>
          <w:b/>
          <w:sz w:val="28"/>
          <w:szCs w:val="28"/>
        </w:rPr>
        <w:t>201</w:t>
      </w:r>
      <w:r>
        <w:rPr>
          <w:rFonts w:hint="eastAsia" w:hAnsi="仿宋_GB2312"/>
          <w:b/>
          <w:sz w:val="28"/>
          <w:szCs w:val="28"/>
          <w:lang w:val="en-US" w:eastAsia="zh-CN"/>
        </w:rPr>
        <w:t>8</w:t>
      </w:r>
      <w:r>
        <w:rPr>
          <w:rFonts w:hint="eastAsia" w:hAnsi="仿宋_GB2312"/>
          <w:b/>
          <w:sz w:val="28"/>
          <w:szCs w:val="28"/>
        </w:rPr>
        <w:t>年度部门决算表</w:t>
      </w:r>
    </w:p>
    <w:p>
      <w:pPr>
        <w:pStyle w:val="12"/>
        <w:spacing w:line="520" w:lineRule="exact"/>
        <w:ind w:firstLine="700" w:firstLineChars="250"/>
        <w:rPr>
          <w:rFonts w:cs="仿宋_GB2312" w:asciiTheme="minorEastAsia" w:hAnsiTheme="minorEastAsia" w:eastAsiaTheme="minorEastAsia"/>
          <w:sz w:val="28"/>
          <w:szCs w:val="28"/>
        </w:rPr>
      </w:pPr>
      <w:r>
        <w:rPr>
          <w:rFonts w:cs="仿宋_GB2312" w:asciiTheme="minorEastAsia" w:hAnsiTheme="minorEastAsia" w:eastAsiaTheme="minorEastAsia"/>
          <w:sz w:val="28"/>
          <w:szCs w:val="28"/>
        </w:rPr>
        <w:t>一、收入支出决算总表</w:t>
      </w:r>
    </w:p>
    <w:p>
      <w:pPr>
        <w:pStyle w:val="12"/>
        <w:spacing w:line="520" w:lineRule="exact"/>
        <w:ind w:firstLine="700" w:firstLineChars="250"/>
        <w:rPr>
          <w:rFonts w:cs="仿宋_GB2312" w:asciiTheme="minorEastAsia" w:hAnsiTheme="minorEastAsia" w:eastAsiaTheme="minorEastAsia"/>
          <w:sz w:val="28"/>
          <w:szCs w:val="28"/>
        </w:rPr>
      </w:pPr>
      <w:r>
        <w:rPr>
          <w:rFonts w:cs="仿宋_GB2312" w:asciiTheme="minorEastAsia" w:hAnsiTheme="minorEastAsia" w:eastAsiaTheme="minorEastAsia"/>
          <w:sz w:val="28"/>
          <w:szCs w:val="28"/>
        </w:rPr>
        <w:t>二、收入决算表</w:t>
      </w:r>
    </w:p>
    <w:p>
      <w:pPr>
        <w:pStyle w:val="12"/>
        <w:spacing w:line="520" w:lineRule="exact"/>
        <w:ind w:firstLine="700" w:firstLineChars="250"/>
        <w:rPr>
          <w:rFonts w:cs="仿宋_GB2312" w:asciiTheme="minorEastAsia" w:hAnsiTheme="minorEastAsia" w:eastAsiaTheme="minorEastAsia"/>
          <w:sz w:val="28"/>
          <w:szCs w:val="28"/>
        </w:rPr>
      </w:pPr>
      <w:r>
        <w:rPr>
          <w:rFonts w:cs="仿宋_GB2312" w:asciiTheme="minorEastAsia" w:hAnsiTheme="minorEastAsia" w:eastAsiaTheme="minorEastAsia"/>
          <w:sz w:val="28"/>
          <w:szCs w:val="28"/>
        </w:rPr>
        <w:t>三、支出决算表</w:t>
      </w:r>
    </w:p>
    <w:p>
      <w:pPr>
        <w:pStyle w:val="12"/>
        <w:spacing w:line="520" w:lineRule="exact"/>
        <w:ind w:firstLine="700" w:firstLineChars="250"/>
        <w:rPr>
          <w:rFonts w:cs="仿宋_GB2312" w:asciiTheme="minorEastAsia" w:hAnsiTheme="minorEastAsia" w:eastAsiaTheme="minorEastAsia"/>
          <w:sz w:val="28"/>
          <w:szCs w:val="28"/>
        </w:rPr>
      </w:pPr>
      <w:r>
        <w:rPr>
          <w:rFonts w:cs="仿宋_GB2312" w:asciiTheme="minorEastAsia" w:hAnsiTheme="minorEastAsia" w:eastAsiaTheme="minorEastAsia"/>
          <w:sz w:val="28"/>
          <w:szCs w:val="28"/>
        </w:rPr>
        <w:t>四、财政拨款收入支出决算总表</w:t>
      </w:r>
    </w:p>
    <w:p>
      <w:pPr>
        <w:pStyle w:val="12"/>
        <w:spacing w:line="520" w:lineRule="exact"/>
        <w:ind w:firstLine="700" w:firstLineChars="250"/>
        <w:rPr>
          <w:rFonts w:cs="仿宋_GB2312" w:asciiTheme="minorEastAsia" w:hAnsiTheme="minorEastAsia" w:eastAsiaTheme="minorEastAsia"/>
          <w:sz w:val="28"/>
          <w:szCs w:val="28"/>
        </w:rPr>
      </w:pPr>
      <w:r>
        <w:rPr>
          <w:rFonts w:cs="仿宋_GB2312" w:asciiTheme="minorEastAsia" w:hAnsiTheme="minorEastAsia" w:eastAsiaTheme="minorEastAsia"/>
          <w:sz w:val="28"/>
          <w:szCs w:val="28"/>
        </w:rPr>
        <w:t>五、一般公共预算财政拨款支出决算表</w:t>
      </w:r>
    </w:p>
    <w:p>
      <w:pPr>
        <w:pStyle w:val="12"/>
        <w:spacing w:line="520" w:lineRule="exact"/>
        <w:ind w:firstLine="700" w:firstLineChars="250"/>
        <w:rPr>
          <w:rFonts w:cs="仿宋_GB2312" w:asciiTheme="minorEastAsia" w:hAnsiTheme="minorEastAsia" w:eastAsiaTheme="minorEastAsia"/>
          <w:sz w:val="28"/>
          <w:szCs w:val="28"/>
        </w:rPr>
      </w:pPr>
      <w:r>
        <w:rPr>
          <w:rFonts w:cs="仿宋_GB2312" w:asciiTheme="minorEastAsia" w:hAnsiTheme="minorEastAsia" w:eastAsiaTheme="minorEastAsia"/>
          <w:sz w:val="28"/>
          <w:szCs w:val="28"/>
        </w:rPr>
        <w:t>六、一般公共预算财政拨款基本支出决算表</w:t>
      </w:r>
    </w:p>
    <w:p>
      <w:pPr>
        <w:pStyle w:val="12"/>
        <w:spacing w:line="520" w:lineRule="exact"/>
        <w:ind w:firstLine="700" w:firstLineChars="250"/>
        <w:rPr>
          <w:rFonts w:cs="仿宋_GB2312" w:asciiTheme="minorEastAsia" w:hAnsiTheme="minorEastAsia" w:eastAsiaTheme="minorEastAsia"/>
          <w:sz w:val="28"/>
          <w:szCs w:val="28"/>
        </w:rPr>
      </w:pPr>
      <w:r>
        <w:rPr>
          <w:rFonts w:cs="仿宋_GB2312" w:asciiTheme="minorEastAsia" w:hAnsiTheme="minorEastAsia" w:eastAsiaTheme="minorEastAsia"/>
          <w:sz w:val="28"/>
          <w:szCs w:val="28"/>
        </w:rPr>
        <w:t>七、一般公共预算财政拨款“三公”经费支出决算表</w:t>
      </w:r>
    </w:p>
    <w:p>
      <w:pPr>
        <w:pStyle w:val="12"/>
        <w:spacing w:line="520" w:lineRule="exact"/>
        <w:ind w:firstLine="700" w:firstLineChars="250"/>
        <w:rPr>
          <w:rFonts w:cs="仿宋_GB2312" w:asciiTheme="minorEastAsia" w:hAnsiTheme="minorEastAsia" w:eastAsiaTheme="minorEastAsia"/>
          <w:sz w:val="28"/>
          <w:szCs w:val="28"/>
        </w:rPr>
      </w:pPr>
      <w:r>
        <w:rPr>
          <w:rFonts w:cs="仿宋_GB2312" w:asciiTheme="minorEastAsia" w:hAnsiTheme="minorEastAsia" w:eastAsiaTheme="minorEastAsia"/>
          <w:sz w:val="28"/>
          <w:szCs w:val="28"/>
        </w:rPr>
        <w:t>八、政府性基金预算财政拨款收入支出决算表</w:t>
      </w:r>
    </w:p>
    <w:p>
      <w:pPr>
        <w:pStyle w:val="12"/>
        <w:spacing w:line="520" w:lineRule="exact"/>
        <w:rPr>
          <w:rFonts w:ascii="仿宋_GB2312" w:hAnsi="仿宋_GB2312" w:cs="仿宋_GB2312"/>
          <w:b/>
          <w:sz w:val="28"/>
          <w:szCs w:val="28"/>
        </w:rPr>
      </w:pPr>
      <w:r>
        <w:rPr>
          <w:rFonts w:hint="eastAsia" w:hAnsi="仿宋_GB2312"/>
          <w:b/>
          <w:sz w:val="28"/>
          <w:szCs w:val="28"/>
        </w:rPr>
        <w:t>第三部分</w:t>
      </w:r>
      <w:r>
        <w:rPr>
          <w:rFonts w:hAnsi="仿宋_GB2312"/>
          <w:b/>
          <w:sz w:val="28"/>
          <w:szCs w:val="28"/>
        </w:rPr>
        <w:t>201</w:t>
      </w:r>
      <w:r>
        <w:rPr>
          <w:rFonts w:hint="eastAsia" w:hAnsi="仿宋_GB2312"/>
          <w:b/>
          <w:sz w:val="28"/>
          <w:szCs w:val="28"/>
          <w:lang w:val="en-US" w:eastAsia="zh-CN"/>
        </w:rPr>
        <w:t>8</w:t>
      </w:r>
      <w:r>
        <w:rPr>
          <w:rFonts w:hint="eastAsia" w:hAnsi="仿宋_GB2312"/>
          <w:b/>
          <w:sz w:val="28"/>
          <w:szCs w:val="28"/>
        </w:rPr>
        <w:t>年度部门决算情况说明</w:t>
      </w:r>
    </w:p>
    <w:p>
      <w:pPr>
        <w:pStyle w:val="12"/>
        <w:spacing w:line="520" w:lineRule="exact"/>
        <w:ind w:firstLine="700" w:firstLineChars="250"/>
        <w:rPr>
          <w:rFonts w:cs="仿宋_GB2312" w:asciiTheme="minorEastAsia" w:hAnsiTheme="minorEastAsia" w:eastAsiaTheme="minorEastAsia"/>
          <w:sz w:val="28"/>
          <w:szCs w:val="28"/>
        </w:rPr>
      </w:pPr>
      <w:r>
        <w:rPr>
          <w:rFonts w:cs="仿宋_GB2312" w:asciiTheme="minorEastAsia" w:hAnsiTheme="minorEastAsia" w:eastAsiaTheme="minorEastAsia"/>
          <w:sz w:val="28"/>
          <w:szCs w:val="28"/>
        </w:rPr>
        <w:t>一、收入支出决算总体情况说明</w:t>
      </w:r>
    </w:p>
    <w:p>
      <w:pPr>
        <w:spacing w:line="520" w:lineRule="exact"/>
        <w:ind w:firstLine="700" w:firstLineChars="250"/>
        <w:jc w:val="left"/>
        <w:rPr>
          <w:rFonts w:ascii="仿宋_GB2312" w:hAnsi="仿宋_GB2312" w:cs="仿宋_GB2312"/>
          <w:sz w:val="28"/>
          <w:szCs w:val="28"/>
        </w:rPr>
      </w:pPr>
      <w:r>
        <w:rPr>
          <w:rFonts w:ascii="仿宋_GB2312" w:hAnsi="仿宋_GB2312" w:cs="仿宋_GB2312"/>
          <w:sz w:val="28"/>
          <w:szCs w:val="28"/>
        </w:rPr>
        <w:t>二、收入决算情况说明</w:t>
      </w:r>
    </w:p>
    <w:p>
      <w:pPr>
        <w:autoSpaceDE w:val="0"/>
        <w:autoSpaceDN w:val="0"/>
        <w:adjustRightInd w:val="0"/>
        <w:spacing w:line="520" w:lineRule="exact"/>
        <w:ind w:firstLine="700" w:firstLineChars="250"/>
        <w:jc w:val="left"/>
        <w:rPr>
          <w:rFonts w:ascii="仿宋_GB2312" w:hAnsi="仿宋_GB2312" w:cs="仿宋_GB2312"/>
          <w:color w:val="000000"/>
          <w:kern w:val="0"/>
          <w:sz w:val="28"/>
          <w:szCs w:val="28"/>
        </w:rPr>
      </w:pPr>
      <w:r>
        <w:rPr>
          <w:rFonts w:ascii="仿宋_GB2312" w:hAnsi="仿宋_GB2312" w:cs="仿宋_GB2312"/>
          <w:color w:val="000000"/>
          <w:kern w:val="0"/>
          <w:sz w:val="28"/>
          <w:szCs w:val="28"/>
        </w:rPr>
        <w:t>三、支出决算情况说明</w:t>
      </w:r>
    </w:p>
    <w:p>
      <w:pPr>
        <w:autoSpaceDE w:val="0"/>
        <w:autoSpaceDN w:val="0"/>
        <w:adjustRightInd w:val="0"/>
        <w:spacing w:line="520" w:lineRule="exact"/>
        <w:ind w:firstLine="700" w:firstLineChars="250"/>
        <w:jc w:val="left"/>
        <w:rPr>
          <w:rFonts w:ascii="仿宋_GB2312" w:hAnsi="仿宋_GB2312" w:cs="仿宋_GB2312"/>
          <w:color w:val="000000"/>
          <w:kern w:val="0"/>
          <w:sz w:val="28"/>
          <w:szCs w:val="28"/>
        </w:rPr>
      </w:pPr>
      <w:r>
        <w:rPr>
          <w:rFonts w:ascii="仿宋_GB2312" w:hAnsi="仿宋_GB2312" w:cs="仿宋_GB2312"/>
          <w:color w:val="000000"/>
          <w:kern w:val="0"/>
          <w:sz w:val="28"/>
          <w:szCs w:val="28"/>
        </w:rPr>
        <w:t>四、财政拨款收入支出决算总体情况说明</w:t>
      </w:r>
    </w:p>
    <w:p>
      <w:pPr>
        <w:autoSpaceDE w:val="0"/>
        <w:autoSpaceDN w:val="0"/>
        <w:adjustRightInd w:val="0"/>
        <w:spacing w:line="520" w:lineRule="exact"/>
        <w:ind w:firstLine="700" w:firstLineChars="250"/>
        <w:jc w:val="left"/>
        <w:rPr>
          <w:rFonts w:ascii="仿宋_GB2312" w:hAnsi="仿宋_GB2312" w:cs="仿宋_GB2312"/>
          <w:color w:val="000000"/>
          <w:kern w:val="0"/>
          <w:sz w:val="28"/>
          <w:szCs w:val="28"/>
        </w:rPr>
      </w:pPr>
      <w:r>
        <w:rPr>
          <w:rFonts w:ascii="仿宋_GB2312" w:hAnsi="仿宋_GB2312" w:cs="仿宋_GB2312"/>
          <w:color w:val="000000"/>
          <w:kern w:val="0"/>
          <w:sz w:val="28"/>
          <w:szCs w:val="28"/>
        </w:rPr>
        <w:t>五、一般公共预算财政拨款支出决算情况说明</w:t>
      </w:r>
    </w:p>
    <w:p>
      <w:pPr>
        <w:autoSpaceDE w:val="0"/>
        <w:autoSpaceDN w:val="0"/>
        <w:adjustRightInd w:val="0"/>
        <w:spacing w:line="520" w:lineRule="exact"/>
        <w:ind w:firstLine="700" w:firstLineChars="250"/>
        <w:jc w:val="left"/>
        <w:rPr>
          <w:rFonts w:ascii="仿宋_GB2312" w:hAnsi="仿宋_GB2312" w:cs="仿宋_GB2312"/>
          <w:color w:val="000000"/>
          <w:kern w:val="0"/>
          <w:sz w:val="28"/>
          <w:szCs w:val="28"/>
        </w:rPr>
      </w:pPr>
      <w:r>
        <w:rPr>
          <w:rFonts w:ascii="仿宋_GB2312" w:hAnsi="仿宋_GB2312" w:cs="仿宋_GB2312"/>
          <w:color w:val="000000"/>
          <w:kern w:val="0"/>
          <w:sz w:val="28"/>
          <w:szCs w:val="28"/>
        </w:rPr>
        <w:t>六、一般公共预算财政拨款基本支出决算情况说明</w:t>
      </w:r>
    </w:p>
    <w:p>
      <w:pPr>
        <w:autoSpaceDE w:val="0"/>
        <w:autoSpaceDN w:val="0"/>
        <w:adjustRightInd w:val="0"/>
        <w:spacing w:line="520" w:lineRule="exact"/>
        <w:ind w:firstLine="700" w:firstLineChars="250"/>
        <w:jc w:val="left"/>
        <w:rPr>
          <w:rFonts w:ascii="仿宋_GB2312" w:hAnsi="仿宋_GB2312" w:cs="仿宋_GB2312"/>
          <w:color w:val="000000"/>
          <w:kern w:val="0"/>
          <w:sz w:val="28"/>
          <w:szCs w:val="28"/>
        </w:rPr>
      </w:pPr>
      <w:r>
        <w:rPr>
          <w:rFonts w:ascii="仿宋_GB2312" w:hAnsi="仿宋_GB2312" w:cs="仿宋_GB2312"/>
          <w:color w:val="000000"/>
          <w:kern w:val="0"/>
          <w:sz w:val="28"/>
          <w:szCs w:val="28"/>
        </w:rPr>
        <w:t>七、一般公共预算财政拨款三公经费支出决算情况说明</w:t>
      </w:r>
    </w:p>
    <w:p>
      <w:pPr>
        <w:autoSpaceDE w:val="0"/>
        <w:autoSpaceDN w:val="0"/>
        <w:adjustRightInd w:val="0"/>
        <w:spacing w:line="520" w:lineRule="exact"/>
        <w:ind w:firstLine="700" w:firstLineChars="250"/>
        <w:jc w:val="left"/>
        <w:rPr>
          <w:rFonts w:ascii="仿宋_GB2312" w:hAnsi="仿宋_GB2312" w:cs="仿宋_GB2312"/>
          <w:color w:val="auto"/>
          <w:kern w:val="0"/>
          <w:sz w:val="28"/>
          <w:szCs w:val="28"/>
        </w:rPr>
      </w:pPr>
      <w:r>
        <w:rPr>
          <w:rFonts w:hint="eastAsia" w:ascii="仿宋_GB2312" w:hAnsi="仿宋_GB2312" w:cs="仿宋_GB2312"/>
          <w:color w:val="auto"/>
          <w:kern w:val="0"/>
          <w:sz w:val="28"/>
          <w:szCs w:val="28"/>
        </w:rPr>
        <w:t>八</w:t>
      </w:r>
      <w:r>
        <w:rPr>
          <w:rFonts w:ascii="仿宋_GB2312" w:hAnsi="仿宋_GB2312" w:cs="仿宋_GB2312"/>
          <w:color w:val="auto"/>
          <w:kern w:val="0"/>
          <w:sz w:val="28"/>
          <w:szCs w:val="28"/>
        </w:rPr>
        <w:t>、</w:t>
      </w:r>
      <w:r>
        <w:rPr>
          <w:rFonts w:hint="eastAsia" w:ascii="仿宋_GB2312" w:hAnsi="仿宋_GB2312" w:cs="仿宋_GB2312"/>
          <w:color w:val="auto"/>
          <w:kern w:val="0"/>
          <w:sz w:val="28"/>
          <w:szCs w:val="28"/>
        </w:rPr>
        <w:t>政府性基金预算收入支出决算情况</w:t>
      </w:r>
    </w:p>
    <w:p>
      <w:pPr>
        <w:autoSpaceDE w:val="0"/>
        <w:autoSpaceDN w:val="0"/>
        <w:adjustRightInd w:val="0"/>
        <w:spacing w:line="520" w:lineRule="exact"/>
        <w:ind w:left="559" w:leftChars="266" w:firstLine="140" w:firstLineChars="50"/>
        <w:jc w:val="left"/>
        <w:rPr>
          <w:rFonts w:ascii="仿宋_GB2312" w:hAnsi="仿宋_GB2312" w:cs="仿宋_GB2312"/>
          <w:color w:val="auto"/>
          <w:kern w:val="0"/>
          <w:sz w:val="28"/>
          <w:szCs w:val="28"/>
        </w:rPr>
      </w:pPr>
      <w:r>
        <w:rPr>
          <w:rFonts w:hint="eastAsia" w:ascii="仿宋_GB2312" w:hAnsi="仿宋_GB2312" w:cs="仿宋_GB2312"/>
          <w:color w:val="auto"/>
          <w:kern w:val="0"/>
          <w:sz w:val="28"/>
          <w:szCs w:val="28"/>
        </w:rPr>
        <w:t>九</w:t>
      </w:r>
      <w:r>
        <w:rPr>
          <w:rFonts w:ascii="仿宋_GB2312" w:hAnsi="仿宋_GB2312" w:cs="仿宋_GB2312"/>
          <w:b w:val="0"/>
          <w:bCs w:val="0"/>
          <w:color w:val="auto"/>
          <w:kern w:val="0"/>
          <w:sz w:val="28"/>
          <w:szCs w:val="28"/>
        </w:rPr>
        <w:t>、</w:t>
      </w:r>
      <w:r>
        <w:rPr>
          <w:rFonts w:hint="eastAsia" w:hAnsi="黑体"/>
          <w:b w:val="0"/>
          <w:bCs w:val="0"/>
          <w:color w:val="auto"/>
          <w:sz w:val="32"/>
          <w:szCs w:val="32"/>
          <w:lang w:eastAsia="zh-CN"/>
        </w:rPr>
        <w:t>重点项目预算的绩效目标等</w:t>
      </w:r>
      <w:r>
        <w:rPr>
          <w:rFonts w:hint="eastAsia" w:hAnsi="黑体"/>
          <w:b w:val="0"/>
          <w:bCs w:val="0"/>
          <w:color w:val="auto"/>
          <w:sz w:val="32"/>
          <w:szCs w:val="32"/>
        </w:rPr>
        <w:t>201</w:t>
      </w:r>
      <w:r>
        <w:rPr>
          <w:rFonts w:hint="eastAsia" w:hAnsi="黑体"/>
          <w:b w:val="0"/>
          <w:bCs w:val="0"/>
          <w:color w:val="auto"/>
          <w:sz w:val="32"/>
          <w:szCs w:val="32"/>
          <w:lang w:val="en-US" w:eastAsia="zh-CN"/>
        </w:rPr>
        <w:t>8</w:t>
      </w:r>
      <w:r>
        <w:rPr>
          <w:rFonts w:hint="eastAsia" w:hAnsi="黑体"/>
          <w:b w:val="0"/>
          <w:bCs w:val="0"/>
          <w:color w:val="auto"/>
          <w:sz w:val="32"/>
          <w:szCs w:val="32"/>
        </w:rPr>
        <w:t>年度预算绩效情况</w:t>
      </w:r>
      <w:r>
        <w:rPr>
          <w:rFonts w:hint="eastAsia" w:ascii="仿宋_GB2312" w:hAnsi="仿宋_GB2312" w:cs="仿宋_GB2312"/>
          <w:color w:val="auto"/>
          <w:kern w:val="0"/>
          <w:sz w:val="28"/>
          <w:szCs w:val="28"/>
        </w:rPr>
        <w:t>十</w:t>
      </w:r>
      <w:r>
        <w:rPr>
          <w:rFonts w:ascii="仿宋_GB2312" w:hAnsi="仿宋_GB2312" w:cs="仿宋_GB2312"/>
          <w:color w:val="auto"/>
          <w:kern w:val="0"/>
          <w:sz w:val="28"/>
          <w:szCs w:val="28"/>
        </w:rPr>
        <w:t>、其他重要事项情况说明</w:t>
      </w:r>
    </w:p>
    <w:p>
      <w:pPr>
        <w:autoSpaceDE w:val="0"/>
        <w:autoSpaceDN w:val="0"/>
        <w:adjustRightInd w:val="0"/>
        <w:spacing w:line="520" w:lineRule="exact"/>
        <w:jc w:val="left"/>
        <w:rPr>
          <w:rFonts w:ascii="黑体" w:hAnsi="黑体" w:eastAsia="黑体" w:cs="仿宋_GB2312"/>
          <w:b/>
          <w:color w:val="auto"/>
          <w:kern w:val="0"/>
          <w:sz w:val="28"/>
          <w:szCs w:val="28"/>
        </w:rPr>
      </w:pPr>
      <w:r>
        <w:rPr>
          <w:rFonts w:ascii="黑体" w:hAnsi="黑体" w:eastAsia="黑体" w:cs="黑体"/>
          <w:b/>
          <w:color w:val="auto"/>
          <w:kern w:val="0"/>
          <w:sz w:val="28"/>
          <w:szCs w:val="28"/>
        </w:rPr>
        <w:t>第四部分</w:t>
      </w:r>
      <w:r>
        <w:rPr>
          <w:rFonts w:hint="eastAsia" w:ascii="黑体" w:hAnsi="黑体" w:eastAsia="黑体" w:cs="黑体"/>
          <w:b/>
          <w:color w:val="auto"/>
          <w:kern w:val="0"/>
          <w:sz w:val="28"/>
          <w:szCs w:val="28"/>
          <w:lang w:val="en-US" w:eastAsia="zh-CN"/>
        </w:rPr>
        <w:t xml:space="preserve">  </w:t>
      </w:r>
      <w:r>
        <w:rPr>
          <w:rFonts w:ascii="黑体" w:hAnsi="黑体" w:eastAsia="黑体" w:cs="黑体"/>
          <w:b/>
          <w:color w:val="auto"/>
          <w:kern w:val="0"/>
          <w:sz w:val="28"/>
          <w:szCs w:val="28"/>
        </w:rPr>
        <w:t>名词解释</w:t>
      </w:r>
    </w:p>
    <w:p>
      <w:pPr>
        <w:spacing w:line="520" w:lineRule="exact"/>
        <w:jc w:val="left"/>
        <w:rPr>
          <w:rFonts w:hint="eastAsia" w:ascii="黑体" w:hAnsi="黑体" w:eastAsia="黑体" w:cs="黑体"/>
          <w:b/>
          <w:color w:val="auto"/>
          <w:kern w:val="0"/>
          <w:sz w:val="28"/>
          <w:szCs w:val="28"/>
          <w:lang w:val="en-US" w:eastAsia="zh-CN"/>
        </w:rPr>
      </w:pPr>
      <w:r>
        <w:rPr>
          <w:rFonts w:ascii="黑体" w:hAnsi="黑体" w:eastAsia="黑体" w:cs="黑体"/>
          <w:b/>
          <w:color w:val="auto"/>
          <w:kern w:val="0"/>
          <w:sz w:val="28"/>
          <w:szCs w:val="28"/>
        </w:rPr>
        <w:t>第五部分</w:t>
      </w:r>
      <w:r>
        <w:rPr>
          <w:rFonts w:hint="eastAsia" w:ascii="黑体" w:hAnsi="黑体" w:eastAsia="黑体" w:cs="黑体"/>
          <w:b/>
          <w:color w:val="auto"/>
          <w:kern w:val="0"/>
          <w:sz w:val="28"/>
          <w:szCs w:val="28"/>
          <w:lang w:val="en-US" w:eastAsia="zh-CN"/>
        </w:rPr>
        <w:t xml:space="preserve">  2018年度部门整体支出绩效评价报告</w:t>
      </w:r>
    </w:p>
    <w:p>
      <w:pPr>
        <w:spacing w:line="520" w:lineRule="exact"/>
        <w:jc w:val="left"/>
        <w:rPr>
          <w:rFonts w:hint="eastAsia" w:asciiTheme="minorEastAsia" w:hAnsiTheme="minorEastAsia"/>
          <w:bCs/>
          <w:color w:val="auto"/>
          <w:kern w:val="0"/>
          <w:sz w:val="32"/>
          <w:szCs w:val="32"/>
          <w:lang w:val="en-US" w:eastAsia="zh-CN"/>
        </w:rPr>
      </w:pPr>
      <w:r>
        <w:rPr>
          <w:rFonts w:ascii="黑体" w:hAnsi="黑体" w:eastAsia="黑体" w:cs="黑体"/>
          <w:b/>
          <w:color w:val="auto"/>
          <w:kern w:val="0"/>
          <w:sz w:val="28"/>
          <w:szCs w:val="28"/>
        </w:rPr>
        <w:t>第</w:t>
      </w:r>
      <w:r>
        <w:rPr>
          <w:rFonts w:hint="eastAsia" w:ascii="黑体" w:hAnsi="黑体" w:eastAsia="黑体" w:cs="黑体"/>
          <w:b/>
          <w:color w:val="auto"/>
          <w:kern w:val="0"/>
          <w:sz w:val="28"/>
          <w:szCs w:val="28"/>
          <w:lang w:eastAsia="zh-CN"/>
        </w:rPr>
        <w:t>六</w:t>
      </w:r>
      <w:r>
        <w:rPr>
          <w:rFonts w:ascii="黑体" w:hAnsi="黑体" w:eastAsia="黑体" w:cs="黑体"/>
          <w:b/>
          <w:color w:val="auto"/>
          <w:kern w:val="0"/>
          <w:sz w:val="28"/>
          <w:szCs w:val="28"/>
        </w:rPr>
        <w:t>部分</w:t>
      </w:r>
      <w:r>
        <w:rPr>
          <w:rFonts w:hint="eastAsia" w:ascii="黑体" w:hAnsi="黑体" w:eastAsia="黑体" w:cs="黑体"/>
          <w:b/>
          <w:color w:val="auto"/>
          <w:kern w:val="0"/>
          <w:sz w:val="28"/>
          <w:szCs w:val="28"/>
          <w:lang w:val="en-US" w:eastAsia="zh-CN"/>
        </w:rPr>
        <w:t xml:space="preserve">  2018年度部门项目支出绩效评价报告</w:t>
      </w:r>
    </w:p>
    <w:p>
      <w:pPr>
        <w:keepNext w:val="0"/>
        <w:keepLines w:val="0"/>
        <w:pageBreakBefore w:val="0"/>
        <w:widowControl/>
        <w:kinsoku/>
        <w:wordWrap/>
        <w:overflowPunct/>
        <w:topLinePunct w:val="0"/>
        <w:autoSpaceDE/>
        <w:autoSpaceDN/>
        <w:bidi w:val="0"/>
        <w:adjustRightInd/>
        <w:snapToGrid/>
        <w:spacing w:line="700" w:lineRule="exact"/>
        <w:ind w:left="0" w:leftChars="0" w:right="0" w:rightChars="0"/>
        <w:textAlignment w:val="auto"/>
        <w:outlineLvl w:val="9"/>
        <w:rPr>
          <w:rFonts w:hint="eastAsia" w:asciiTheme="minorEastAsia" w:hAnsiTheme="minorEastAsia"/>
          <w:bCs/>
          <w:color w:val="00B0F0"/>
          <w:kern w:val="0"/>
          <w:sz w:val="32"/>
          <w:szCs w:val="32"/>
          <w:lang w:val="en-US" w:eastAsia="zh-CN"/>
        </w:rPr>
      </w:pPr>
    </w:p>
    <w:p>
      <w:pPr>
        <w:spacing w:line="520" w:lineRule="exact"/>
        <w:jc w:val="left"/>
        <w:rPr>
          <w:rFonts w:ascii="黑体" w:hAnsi="黑体" w:eastAsia="黑体" w:cs="黑体"/>
          <w:b/>
          <w:color w:val="00B0F0"/>
          <w:kern w:val="0"/>
          <w:sz w:val="28"/>
          <w:szCs w:val="28"/>
          <w:lang w:val="en-US"/>
        </w:rPr>
      </w:pPr>
    </w:p>
    <w:p>
      <w:pPr>
        <w:jc w:val="center"/>
        <w:rPr>
          <w:color w:val="00B0F0"/>
          <w:sz w:val="72"/>
          <w:szCs w:val="72"/>
        </w:rPr>
      </w:pPr>
    </w:p>
    <w:p>
      <w:pPr>
        <w:jc w:val="center"/>
        <w:rPr>
          <w:color w:val="00B0F0"/>
          <w:sz w:val="72"/>
          <w:szCs w:val="72"/>
        </w:rPr>
      </w:pPr>
    </w:p>
    <w:p>
      <w:pPr>
        <w:jc w:val="center"/>
        <w:rPr>
          <w:color w:val="00B0F0"/>
          <w:sz w:val="72"/>
          <w:szCs w:val="72"/>
        </w:rPr>
      </w:pPr>
    </w:p>
    <w:p>
      <w:pPr>
        <w:jc w:val="center"/>
        <w:rPr>
          <w:color w:val="00B0F0"/>
          <w:sz w:val="72"/>
          <w:szCs w:val="72"/>
        </w:rPr>
      </w:pPr>
    </w:p>
    <w:p>
      <w:pPr>
        <w:rPr>
          <w:color w:val="00B0F0"/>
          <w:sz w:val="72"/>
          <w:szCs w:val="72"/>
        </w:rPr>
      </w:pPr>
    </w:p>
    <w:p>
      <w:pPr>
        <w:pStyle w:val="12"/>
        <w:jc w:val="center"/>
        <w:rPr>
          <w:rFonts w:hint="eastAsia"/>
          <w:color w:val="00B0F0"/>
          <w:sz w:val="84"/>
          <w:szCs w:val="84"/>
        </w:rPr>
      </w:pPr>
    </w:p>
    <w:p>
      <w:pPr>
        <w:pStyle w:val="12"/>
        <w:jc w:val="center"/>
        <w:rPr>
          <w:rFonts w:hint="eastAsia"/>
          <w:color w:val="00B0F0"/>
          <w:sz w:val="84"/>
          <w:szCs w:val="84"/>
        </w:rPr>
      </w:pPr>
    </w:p>
    <w:p>
      <w:pPr>
        <w:pStyle w:val="12"/>
        <w:jc w:val="center"/>
        <w:rPr>
          <w:rFonts w:hint="eastAsia"/>
          <w:color w:val="00B0F0"/>
          <w:sz w:val="84"/>
          <w:szCs w:val="84"/>
        </w:rPr>
      </w:pPr>
    </w:p>
    <w:p>
      <w:pPr>
        <w:pStyle w:val="12"/>
        <w:jc w:val="center"/>
        <w:rPr>
          <w:rFonts w:hint="eastAsia"/>
          <w:sz w:val="84"/>
          <w:szCs w:val="84"/>
        </w:rPr>
      </w:pPr>
    </w:p>
    <w:p>
      <w:pPr>
        <w:pStyle w:val="12"/>
        <w:jc w:val="center"/>
        <w:rPr>
          <w:rFonts w:hint="eastAsia"/>
          <w:sz w:val="84"/>
          <w:szCs w:val="84"/>
        </w:rPr>
      </w:pPr>
    </w:p>
    <w:p>
      <w:pPr>
        <w:widowControl/>
        <w:ind w:firstLine="2520" w:firstLineChars="300"/>
        <w:jc w:val="both"/>
        <w:rPr>
          <w:rFonts w:hint="eastAsia" w:ascii="黑体" w:hAnsi="黑体" w:eastAsia="黑体"/>
          <w:bCs/>
          <w:kern w:val="0"/>
          <w:sz w:val="84"/>
          <w:szCs w:val="84"/>
        </w:rPr>
      </w:pPr>
    </w:p>
    <w:p>
      <w:pPr>
        <w:widowControl/>
        <w:ind w:firstLine="2520" w:firstLineChars="300"/>
        <w:jc w:val="both"/>
        <w:rPr>
          <w:rFonts w:hint="eastAsia" w:ascii="黑体" w:hAnsi="黑体" w:eastAsia="黑体"/>
          <w:bCs/>
          <w:kern w:val="0"/>
          <w:sz w:val="84"/>
          <w:szCs w:val="84"/>
        </w:rPr>
      </w:pPr>
    </w:p>
    <w:p>
      <w:pPr>
        <w:widowControl/>
        <w:ind w:firstLine="2520" w:firstLineChars="300"/>
        <w:jc w:val="both"/>
        <w:rPr>
          <w:rFonts w:hint="eastAsia" w:ascii="黑体" w:hAnsi="黑体" w:eastAsia="黑体"/>
          <w:bCs/>
          <w:kern w:val="0"/>
          <w:sz w:val="84"/>
          <w:szCs w:val="84"/>
        </w:rPr>
      </w:pPr>
    </w:p>
    <w:p>
      <w:pPr>
        <w:widowControl/>
        <w:ind w:firstLine="2520" w:firstLineChars="300"/>
        <w:jc w:val="both"/>
        <w:rPr>
          <w:rFonts w:hint="eastAsia" w:ascii="黑体" w:hAnsi="黑体" w:eastAsia="黑体"/>
          <w:bCs/>
          <w:kern w:val="0"/>
          <w:sz w:val="84"/>
          <w:szCs w:val="84"/>
        </w:rPr>
      </w:pPr>
    </w:p>
    <w:p>
      <w:pPr>
        <w:widowControl/>
        <w:ind w:firstLine="2520" w:firstLineChars="300"/>
        <w:jc w:val="both"/>
        <w:rPr>
          <w:rFonts w:ascii="黑体" w:hAnsi="黑体" w:eastAsia="黑体"/>
          <w:bCs/>
          <w:kern w:val="0"/>
          <w:sz w:val="84"/>
          <w:szCs w:val="84"/>
        </w:rPr>
      </w:pPr>
      <w:r>
        <w:rPr>
          <w:rFonts w:hint="eastAsia" w:ascii="黑体" w:hAnsi="黑体" w:eastAsia="黑体"/>
          <w:bCs/>
          <w:kern w:val="0"/>
          <w:sz w:val="84"/>
          <w:szCs w:val="84"/>
        </w:rPr>
        <w:t xml:space="preserve">第一部分 </w:t>
      </w:r>
    </w:p>
    <w:p>
      <w:pPr>
        <w:widowControl/>
        <w:jc w:val="center"/>
        <w:rPr>
          <w:rFonts w:ascii="黑体" w:hAnsi="黑体" w:eastAsia="黑体"/>
          <w:bCs/>
          <w:kern w:val="0"/>
          <w:sz w:val="84"/>
          <w:szCs w:val="84"/>
        </w:rPr>
      </w:pPr>
      <w:r>
        <w:rPr>
          <w:rFonts w:hint="eastAsia" w:ascii="黑体" w:hAnsi="黑体" w:eastAsia="黑体"/>
          <w:bCs/>
          <w:kern w:val="0"/>
          <w:sz w:val="84"/>
          <w:szCs w:val="84"/>
        </w:rPr>
        <w:t xml:space="preserve"> 永州市文联</w:t>
      </w:r>
    </w:p>
    <w:p>
      <w:pPr>
        <w:widowControl/>
        <w:jc w:val="center"/>
        <w:rPr>
          <w:rFonts w:ascii="黑体" w:hAnsi="黑体" w:eastAsia="黑体"/>
          <w:bCs/>
          <w:kern w:val="0"/>
          <w:sz w:val="84"/>
          <w:szCs w:val="84"/>
        </w:rPr>
      </w:pPr>
      <w:r>
        <w:rPr>
          <w:rFonts w:hint="eastAsia" w:ascii="黑体" w:hAnsi="黑体" w:eastAsia="黑体"/>
          <w:bCs/>
          <w:kern w:val="0"/>
          <w:sz w:val="84"/>
          <w:szCs w:val="84"/>
        </w:rPr>
        <w:t>概  况</w:t>
      </w:r>
    </w:p>
    <w:p>
      <w:pPr>
        <w:jc w:val="center"/>
        <w:rPr>
          <w:sz w:val="72"/>
          <w:szCs w:val="72"/>
        </w:rPr>
      </w:pPr>
    </w:p>
    <w:p>
      <w:pPr>
        <w:pStyle w:val="17"/>
        <w:numPr>
          <w:ilvl w:val="0"/>
          <w:numId w:val="0"/>
        </w:numPr>
        <w:ind w:leftChars="0"/>
        <w:jc w:val="left"/>
        <w:rPr>
          <w:rFonts w:ascii="黑体" w:hAnsi="黑体" w:eastAsia="黑体"/>
          <w:sz w:val="32"/>
          <w:szCs w:val="32"/>
        </w:rPr>
      </w:pPr>
    </w:p>
    <w:p>
      <w:pPr>
        <w:pStyle w:val="17"/>
        <w:numPr>
          <w:ilvl w:val="0"/>
          <w:numId w:val="0"/>
        </w:numPr>
        <w:ind w:leftChars="0"/>
        <w:jc w:val="left"/>
        <w:rPr>
          <w:rFonts w:ascii="黑体" w:hAnsi="黑体" w:eastAsia="黑体"/>
          <w:sz w:val="32"/>
          <w:szCs w:val="32"/>
        </w:rPr>
      </w:pPr>
    </w:p>
    <w:p>
      <w:pPr>
        <w:pStyle w:val="17"/>
        <w:numPr>
          <w:ilvl w:val="0"/>
          <w:numId w:val="0"/>
        </w:numPr>
        <w:ind w:leftChars="0"/>
        <w:jc w:val="left"/>
        <w:rPr>
          <w:rFonts w:ascii="黑体" w:hAnsi="黑体" w:eastAsia="黑体"/>
          <w:sz w:val="32"/>
          <w:szCs w:val="32"/>
        </w:rPr>
      </w:pPr>
    </w:p>
    <w:p>
      <w:pPr>
        <w:pStyle w:val="17"/>
        <w:numPr>
          <w:ilvl w:val="0"/>
          <w:numId w:val="0"/>
        </w:numPr>
        <w:ind w:leftChars="0"/>
        <w:jc w:val="left"/>
        <w:rPr>
          <w:rFonts w:ascii="黑体" w:hAnsi="黑体" w:eastAsia="黑体"/>
          <w:sz w:val="32"/>
          <w:szCs w:val="32"/>
        </w:rPr>
      </w:pPr>
    </w:p>
    <w:p>
      <w:pPr>
        <w:pStyle w:val="17"/>
        <w:numPr>
          <w:ilvl w:val="0"/>
          <w:numId w:val="0"/>
        </w:numPr>
        <w:ind w:leftChars="0"/>
        <w:jc w:val="left"/>
        <w:rPr>
          <w:rFonts w:ascii="黑体" w:hAnsi="黑体" w:eastAsia="黑体"/>
          <w:sz w:val="32"/>
          <w:szCs w:val="32"/>
        </w:rPr>
      </w:pPr>
    </w:p>
    <w:p>
      <w:pPr>
        <w:pStyle w:val="17"/>
        <w:numPr>
          <w:ilvl w:val="0"/>
          <w:numId w:val="0"/>
        </w:numPr>
        <w:ind w:leftChars="0"/>
        <w:jc w:val="left"/>
        <w:rPr>
          <w:rFonts w:ascii="黑体" w:hAnsi="黑体" w:eastAsia="黑体"/>
          <w:sz w:val="32"/>
          <w:szCs w:val="32"/>
        </w:rPr>
      </w:pPr>
    </w:p>
    <w:p>
      <w:pPr>
        <w:pStyle w:val="17"/>
        <w:numPr>
          <w:ilvl w:val="0"/>
          <w:numId w:val="0"/>
        </w:numPr>
        <w:ind w:leftChars="0"/>
        <w:jc w:val="left"/>
        <w:rPr>
          <w:rFonts w:ascii="黑体" w:hAnsi="黑体" w:eastAsia="黑体"/>
          <w:sz w:val="32"/>
          <w:szCs w:val="32"/>
        </w:rPr>
      </w:pPr>
    </w:p>
    <w:p>
      <w:pPr>
        <w:snapToGrid w:val="0"/>
        <w:spacing w:line="520" w:lineRule="exact"/>
        <w:ind w:firstLine="640" w:firstLineChars="200"/>
        <w:rPr>
          <w:rFonts w:ascii="黑体" w:hAnsi="黑体" w:eastAsia="黑体"/>
          <w:sz w:val="32"/>
          <w:szCs w:val="32"/>
        </w:rPr>
      </w:pPr>
      <w:bookmarkStart w:id="0" w:name="YS060101"/>
      <w:r>
        <w:rPr>
          <w:rFonts w:hint="eastAsia" w:ascii="黑体" w:hAnsi="黑体" w:eastAsia="黑体"/>
          <w:sz w:val="32"/>
          <w:szCs w:val="32"/>
        </w:rPr>
        <w:t>一</w:t>
      </w:r>
      <w:bookmarkEnd w:id="0"/>
      <w:r>
        <w:rPr>
          <w:rFonts w:hint="eastAsia" w:ascii="黑体" w:hAnsi="黑体" w:eastAsia="黑体"/>
          <w:sz w:val="32"/>
          <w:szCs w:val="32"/>
        </w:rPr>
        <w:t>、部门职责</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firstLine="640" w:firstLineChars="200"/>
        <w:jc w:val="both"/>
        <w:rPr>
          <w:rFonts w:hint="eastAsia" w:cs="Times New Roman" w:asciiTheme="majorEastAsia" w:hAnsiTheme="majorEastAsia" w:eastAsiaTheme="majorEastAsia"/>
          <w:kern w:val="2"/>
          <w:sz w:val="32"/>
          <w:szCs w:val="28"/>
          <w:lang w:val="en-US" w:eastAsia="zh-CN" w:bidi="ar-SA"/>
        </w:rPr>
      </w:pPr>
      <w:r>
        <w:rPr>
          <w:rFonts w:hint="eastAsia" w:cs="Times New Roman" w:asciiTheme="majorEastAsia" w:hAnsiTheme="majorEastAsia" w:eastAsiaTheme="majorEastAsia"/>
          <w:kern w:val="2"/>
          <w:sz w:val="32"/>
          <w:szCs w:val="28"/>
          <w:lang w:val="en-US" w:eastAsia="zh-CN" w:bidi="ar-SA"/>
        </w:rPr>
        <w:t>根据永发〔2001〕12号文件规定，市文联主要工作：贯彻党和国家及上级业务主管部门关于发展文艺工作的方针、政策、法规；编辑出版《潇湘》杂志；组织文艺创作、举办文艺活动、管理各专业文艺家协会；开展对文艺工作者和文艺人才的培训；指导各县区文联工作。</w:t>
      </w:r>
    </w:p>
    <w:p>
      <w:pPr>
        <w:snapToGrid w:val="0"/>
        <w:spacing w:line="520" w:lineRule="exact"/>
        <w:ind w:firstLine="640" w:firstLineChars="200"/>
        <w:rPr>
          <w:rFonts w:hint="eastAsia" w:ascii="黑体" w:hAnsi="黑体" w:eastAsia="黑体"/>
          <w:sz w:val="32"/>
          <w:szCs w:val="32"/>
          <w:lang w:eastAsia="zh-CN"/>
        </w:rPr>
      </w:pPr>
      <w:r>
        <w:rPr>
          <w:rFonts w:hint="eastAsia" w:ascii="黑体" w:hAnsi="黑体" w:eastAsia="黑体"/>
          <w:sz w:val="32"/>
          <w:szCs w:val="32"/>
        </w:rPr>
        <w:t>二、机构设置</w:t>
      </w:r>
      <w:r>
        <w:rPr>
          <w:rFonts w:hint="eastAsia" w:ascii="黑体" w:hAnsi="黑体" w:eastAsia="黑体"/>
          <w:sz w:val="32"/>
          <w:szCs w:val="32"/>
          <w:lang w:eastAsia="zh-CN"/>
        </w:rPr>
        <w:t>及决算单位构成</w:t>
      </w:r>
    </w:p>
    <w:p>
      <w:pPr>
        <w:widowControl/>
        <w:ind w:firstLine="643" w:firstLineChars="200"/>
        <w:rPr>
          <w:rFonts w:hint="eastAsia" w:asciiTheme="majorEastAsia" w:hAnsiTheme="majorEastAsia" w:eastAsiaTheme="majorEastAsia"/>
          <w:b/>
          <w:bCs/>
          <w:sz w:val="32"/>
          <w:szCs w:val="28"/>
          <w:lang w:eastAsia="zh-CN"/>
        </w:rPr>
      </w:pPr>
      <w:r>
        <w:rPr>
          <w:rFonts w:hint="eastAsia" w:asciiTheme="majorEastAsia" w:hAnsiTheme="majorEastAsia" w:eastAsiaTheme="majorEastAsia"/>
          <w:b/>
          <w:bCs/>
          <w:sz w:val="32"/>
          <w:szCs w:val="28"/>
          <w:lang w:eastAsia="zh-CN"/>
        </w:rPr>
        <w:t>（一）内设</w:t>
      </w:r>
      <w:r>
        <w:rPr>
          <w:rFonts w:hint="eastAsia" w:asciiTheme="majorEastAsia" w:hAnsiTheme="majorEastAsia" w:eastAsiaTheme="majorEastAsia"/>
          <w:b/>
          <w:bCs/>
          <w:sz w:val="32"/>
          <w:szCs w:val="28"/>
        </w:rPr>
        <w:t>机构</w:t>
      </w:r>
      <w:r>
        <w:rPr>
          <w:rFonts w:hint="eastAsia" w:asciiTheme="majorEastAsia" w:hAnsiTheme="majorEastAsia" w:eastAsiaTheme="majorEastAsia"/>
          <w:b/>
          <w:bCs/>
          <w:sz w:val="32"/>
          <w:szCs w:val="28"/>
          <w:lang w:eastAsia="zh-CN"/>
        </w:rPr>
        <w:t>设置</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640"/>
        <w:jc w:val="both"/>
        <w:rPr>
          <w:rFonts w:hint="eastAsia" w:cs="Times New Roman" w:asciiTheme="majorEastAsia" w:hAnsiTheme="majorEastAsia" w:eastAsiaTheme="majorEastAsia"/>
          <w:kern w:val="2"/>
          <w:sz w:val="32"/>
          <w:szCs w:val="28"/>
          <w:lang w:val="en-US" w:eastAsia="zh-CN" w:bidi="ar-SA"/>
        </w:rPr>
      </w:pPr>
      <w:r>
        <w:rPr>
          <w:rFonts w:hint="eastAsia" w:cs="Times New Roman" w:asciiTheme="majorEastAsia" w:hAnsiTheme="majorEastAsia" w:eastAsiaTheme="majorEastAsia"/>
          <w:kern w:val="2"/>
          <w:sz w:val="32"/>
          <w:szCs w:val="28"/>
          <w:lang w:val="en-US" w:eastAsia="zh-CN" w:bidi="ar-SA"/>
        </w:rPr>
        <w:t>根据永州市机构编制委员会办公室关于市文学艺术界联合会有关机构编制事项调整的批复（永编办发〔2008〕89号），市文联内设机构设置为办公室（《潇湘》编辑部）、组织联络科（加挂网络文艺科牌子）、权益保护与行业建设科，市文体广电新闻出版局下设市书法院成建制划归市文联管理，下辖全市32个专业文艺家协会。</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640"/>
        <w:jc w:val="both"/>
        <w:rPr>
          <w:rFonts w:hint="eastAsia" w:cs="Times New Roman" w:asciiTheme="majorEastAsia" w:hAnsiTheme="majorEastAsia" w:eastAsiaTheme="majorEastAsia"/>
          <w:kern w:val="2"/>
          <w:sz w:val="32"/>
          <w:szCs w:val="28"/>
          <w:lang w:val="en-US" w:eastAsia="zh-CN" w:bidi="ar-SA"/>
        </w:rPr>
      </w:pPr>
      <w:r>
        <w:rPr>
          <w:rFonts w:hint="eastAsia" w:cs="Times New Roman" w:asciiTheme="majorEastAsia" w:hAnsiTheme="majorEastAsia" w:eastAsiaTheme="majorEastAsia"/>
          <w:kern w:val="2"/>
          <w:sz w:val="32"/>
          <w:szCs w:val="28"/>
          <w:lang w:val="en-US" w:eastAsia="zh-CN" w:bidi="ar-SA"/>
        </w:rPr>
        <w:t>市文联目前编制17个（其中参照公务员法管理全额拨款事业编12个，市书法院全额拨款事业编5个），现有在职参照公务员法管理全额拨款事业编8个，市书法院全额拨款事业编1个，退休人员6人，聘用人员3人，共计17人。市文联有小车编制1台。</w:t>
      </w:r>
    </w:p>
    <w:p>
      <w:pPr>
        <w:widowControl/>
        <w:spacing w:line="600" w:lineRule="exact"/>
        <w:ind w:firstLine="643" w:firstLineChars="200"/>
        <w:rPr>
          <w:rFonts w:hint="eastAsia" w:asciiTheme="minorEastAsia" w:hAnsiTheme="minorEastAsia" w:eastAsiaTheme="minorEastAsia"/>
          <w:bCs/>
          <w:kern w:val="0"/>
          <w:sz w:val="32"/>
          <w:szCs w:val="32"/>
          <w:lang w:eastAsia="zh-CN"/>
        </w:rPr>
      </w:pPr>
      <w:r>
        <w:rPr>
          <w:rFonts w:hint="eastAsia" w:asciiTheme="majorEastAsia" w:hAnsiTheme="majorEastAsia" w:eastAsiaTheme="majorEastAsia"/>
          <w:b/>
          <w:bCs/>
          <w:sz w:val="32"/>
          <w:szCs w:val="28"/>
          <w:lang w:eastAsia="zh-CN"/>
        </w:rPr>
        <w:t>（二）决算单位构成。</w:t>
      </w:r>
      <w:r>
        <w:rPr>
          <w:rFonts w:hint="eastAsia" w:asciiTheme="minorEastAsia" w:hAnsiTheme="minorEastAsia" w:eastAsiaTheme="majorEastAsia"/>
          <w:bCs/>
          <w:kern w:val="0"/>
          <w:sz w:val="32"/>
          <w:szCs w:val="32"/>
          <w:lang w:eastAsia="zh-CN"/>
        </w:rPr>
        <w:t>永州市文学艺术界联合会为市财政预算一级单位，决算单位由市文联本级单位组成。</w:t>
      </w:r>
    </w:p>
    <w:p>
      <w:pPr>
        <w:jc w:val="left"/>
        <w:rPr>
          <w:rFonts w:ascii="仿宋_GB2312" w:eastAsia="仿宋_GB2312" w:hAnsiTheme="minorEastAsia"/>
          <w:sz w:val="28"/>
          <w:szCs w:val="32"/>
        </w:rPr>
      </w:pPr>
    </w:p>
    <w:p>
      <w:pPr>
        <w:jc w:val="center"/>
        <w:rPr>
          <w:rFonts w:ascii="黑体" w:hAnsi="黑体" w:eastAsia="黑体"/>
          <w:sz w:val="28"/>
          <w:szCs w:val="28"/>
        </w:rPr>
      </w:pPr>
    </w:p>
    <w:p>
      <w:pPr>
        <w:jc w:val="center"/>
        <w:rPr>
          <w:rFonts w:ascii="黑体" w:hAnsi="黑体" w:eastAsia="黑体"/>
          <w:sz w:val="28"/>
          <w:szCs w:val="28"/>
        </w:rPr>
      </w:pPr>
    </w:p>
    <w:p>
      <w:pPr>
        <w:jc w:val="center"/>
        <w:rPr>
          <w:rFonts w:ascii="黑体" w:hAnsi="黑体" w:eastAsia="黑体"/>
          <w:sz w:val="28"/>
          <w:szCs w:val="28"/>
        </w:rPr>
      </w:pPr>
    </w:p>
    <w:p>
      <w:pPr>
        <w:jc w:val="center"/>
        <w:rPr>
          <w:rFonts w:ascii="黑体" w:hAnsi="黑体" w:eastAsia="黑体"/>
          <w:sz w:val="28"/>
          <w:szCs w:val="28"/>
        </w:rPr>
      </w:pPr>
    </w:p>
    <w:p>
      <w:pPr>
        <w:jc w:val="center"/>
        <w:rPr>
          <w:rFonts w:ascii="黑体" w:hAnsi="黑体" w:eastAsia="黑体"/>
          <w:sz w:val="28"/>
          <w:szCs w:val="28"/>
        </w:rPr>
      </w:pPr>
    </w:p>
    <w:p>
      <w:pPr>
        <w:jc w:val="center"/>
        <w:rPr>
          <w:rFonts w:ascii="黑体" w:hAnsi="黑体" w:eastAsia="黑体"/>
          <w:sz w:val="28"/>
          <w:szCs w:val="28"/>
        </w:rPr>
      </w:pPr>
    </w:p>
    <w:p>
      <w:pPr>
        <w:jc w:val="center"/>
        <w:rPr>
          <w:sz w:val="72"/>
          <w:szCs w:val="72"/>
        </w:rPr>
      </w:pPr>
    </w:p>
    <w:p>
      <w:pPr>
        <w:jc w:val="center"/>
        <w:rPr>
          <w:sz w:val="72"/>
          <w:szCs w:val="72"/>
        </w:rPr>
      </w:pPr>
    </w:p>
    <w:p>
      <w:pPr>
        <w:pStyle w:val="12"/>
        <w:jc w:val="center"/>
        <w:rPr>
          <w:rFonts w:hint="eastAsia"/>
          <w:sz w:val="84"/>
          <w:szCs w:val="84"/>
        </w:rPr>
      </w:pPr>
      <w:r>
        <w:rPr>
          <w:rFonts w:hint="eastAsia"/>
          <w:sz w:val="84"/>
          <w:szCs w:val="84"/>
        </w:rPr>
        <w:t>第二部分</w:t>
      </w:r>
    </w:p>
    <w:p>
      <w:pPr>
        <w:jc w:val="center"/>
        <w:rPr>
          <w:sz w:val="72"/>
          <w:szCs w:val="72"/>
        </w:rPr>
      </w:pPr>
    </w:p>
    <w:p>
      <w:pPr>
        <w:pStyle w:val="12"/>
        <w:jc w:val="center"/>
        <w:rPr>
          <w:rFonts w:hint="eastAsia"/>
          <w:sz w:val="84"/>
          <w:szCs w:val="84"/>
        </w:rPr>
      </w:pPr>
      <w:r>
        <w:rPr>
          <w:rFonts w:hint="eastAsia"/>
          <w:sz w:val="84"/>
          <w:szCs w:val="84"/>
        </w:rPr>
        <w:t>部门决算表</w:t>
      </w:r>
    </w:p>
    <w:p>
      <w:pPr>
        <w:jc w:val="center"/>
        <w:rPr>
          <w:rFonts w:ascii="仿宋_GB2312" w:eastAsia="仿宋_GB2312"/>
          <w:b/>
          <w:bCs/>
          <w:kern w:val="0"/>
          <w:sz w:val="84"/>
          <w:szCs w:val="84"/>
        </w:rPr>
      </w:pPr>
    </w:p>
    <w:p>
      <w:pPr>
        <w:jc w:val="center"/>
        <w:rPr>
          <w:rFonts w:ascii="仿宋_GB2312" w:eastAsia="仿宋_GB2312"/>
          <w:b/>
          <w:bCs/>
          <w:kern w:val="0"/>
          <w:sz w:val="84"/>
          <w:szCs w:val="84"/>
        </w:rPr>
      </w:pPr>
    </w:p>
    <w:p>
      <w:pPr>
        <w:jc w:val="both"/>
        <w:rPr>
          <w:rFonts w:ascii="仿宋_GB2312" w:eastAsia="仿宋_GB2312"/>
          <w:b/>
          <w:bCs/>
          <w:kern w:val="0"/>
          <w:sz w:val="84"/>
          <w:szCs w:val="84"/>
        </w:rPr>
      </w:pPr>
    </w:p>
    <w:p>
      <w:pPr>
        <w:widowControl/>
        <w:ind w:firstLine="643" w:firstLineChars="200"/>
        <w:rPr>
          <w:rFonts w:ascii="仿宋_GB2312" w:eastAsia="仿宋_GB2312"/>
          <w:b/>
          <w:bCs/>
          <w:kern w:val="0"/>
          <w:sz w:val="32"/>
          <w:szCs w:val="32"/>
        </w:rPr>
      </w:pPr>
    </w:p>
    <w:p>
      <w:pPr>
        <w:widowControl/>
        <w:ind w:firstLine="643" w:firstLineChars="200"/>
        <w:rPr>
          <w:rFonts w:ascii="仿宋_GB2312" w:eastAsia="仿宋_GB2312"/>
          <w:b/>
          <w:bCs/>
          <w:kern w:val="0"/>
          <w:sz w:val="32"/>
          <w:szCs w:val="32"/>
        </w:rPr>
      </w:pPr>
    </w:p>
    <w:p>
      <w:pPr>
        <w:widowControl/>
        <w:rPr>
          <w:rFonts w:ascii="仿宋_GB2312" w:eastAsia="仿宋_GB2312"/>
          <w:b/>
          <w:bCs/>
          <w:kern w:val="0"/>
          <w:sz w:val="32"/>
          <w:szCs w:val="32"/>
        </w:rPr>
        <w:sectPr>
          <w:footerReference r:id="rId3" w:type="default"/>
          <w:pgSz w:w="11906" w:h="16838"/>
          <w:pgMar w:top="1440" w:right="1800" w:bottom="1440" w:left="1800" w:header="851" w:footer="992" w:gutter="0"/>
          <w:pgNumType w:start="1"/>
          <w:cols w:space="720" w:num="1"/>
          <w:docGrid w:type="lines" w:linePitch="312" w:charSpace="0"/>
        </w:sectPr>
      </w:pPr>
    </w:p>
    <w:p>
      <w:pPr>
        <w:tabs>
          <w:tab w:val="left" w:pos="1267"/>
        </w:tabs>
        <w:rPr>
          <w:rFonts w:ascii="仿宋_GB2312" w:eastAsia="仿宋_GB2312"/>
          <w:sz w:val="32"/>
          <w:szCs w:val="32"/>
        </w:rPr>
      </w:pPr>
      <w:r>
        <w:rPr>
          <w:rFonts w:ascii="仿宋_GB2312" w:eastAsia="仿宋_GB2312"/>
          <w:sz w:val="32"/>
          <w:szCs w:val="32"/>
        </w:rPr>
        <w:object>
          <v:shape id="_x0000_i1025" o:spt="75" type="#_x0000_t75" style="height:500.25pt;width:690.2pt;" o:ole="t" filled="f" o:preferrelative="t" stroked="f" coordsize="21600,21600">
            <v:path/>
            <v:fill on="f" focussize="0,0"/>
            <v:stroke on="f"/>
            <v:imagedata r:id="rId8" o:title=""/>
            <o:lock v:ext="edit" aspectratio="f"/>
            <w10:wrap type="none"/>
            <w10:anchorlock/>
          </v:shape>
          <o:OLEObject Type="Embed" ProgID="Excel.Sheet.8" ShapeID="_x0000_i1025" DrawAspect="Content" ObjectID="_1468075725" r:id="rId7">
            <o:LockedField>false</o:LockedField>
          </o:OLEObject>
        </w:object>
      </w:r>
    </w:p>
    <w:p>
      <w:pPr>
        <w:widowControl/>
        <w:rPr>
          <w:rFonts w:ascii="仿宋_GB2312" w:eastAsia="仿宋_GB2312"/>
          <w:b/>
          <w:bCs/>
          <w:kern w:val="0"/>
          <w:sz w:val="32"/>
          <w:szCs w:val="32"/>
        </w:rPr>
      </w:pPr>
    </w:p>
    <w:p>
      <w:pPr>
        <w:widowControl/>
        <w:ind w:firstLine="643" w:firstLineChars="200"/>
        <w:rPr>
          <w:rFonts w:ascii="仿宋_GB2312" w:eastAsia="仿宋_GB2312"/>
          <w:b/>
          <w:bCs/>
          <w:kern w:val="0"/>
          <w:sz w:val="32"/>
          <w:szCs w:val="32"/>
        </w:rPr>
      </w:pPr>
    </w:p>
    <w:p>
      <w:pPr>
        <w:widowControl/>
        <w:ind w:left="4200" w:hanging="4216" w:hangingChars="500"/>
        <w:jc w:val="both"/>
        <w:rPr>
          <w:rFonts w:ascii="仿宋_GB2312" w:eastAsia="仿宋_GB2312"/>
          <w:b/>
          <w:bCs/>
          <w:kern w:val="0"/>
          <w:sz w:val="84"/>
          <w:szCs w:val="84"/>
        </w:rPr>
      </w:pPr>
      <w:r>
        <w:rPr>
          <w:rFonts w:ascii="仿宋_GB2312" w:eastAsia="仿宋_GB2312"/>
          <w:b/>
          <w:bCs/>
          <w:kern w:val="0"/>
          <w:sz w:val="84"/>
          <w:szCs w:val="84"/>
        </w:rPr>
        <w:object>
          <v:shape id="_x0000_i1026" o:spt="75" type="#_x0000_t75" style="height:390.75pt;width:692.25pt;" o:ole="t" filled="f" o:preferrelative="t" stroked="f" coordsize="21600,21600">
            <v:path/>
            <v:fill on="f" focussize="0,0"/>
            <v:stroke on="f"/>
            <v:imagedata r:id="rId10" o:title=""/>
            <o:lock v:ext="edit" aspectratio="f"/>
            <w10:wrap type="none"/>
            <w10:anchorlock/>
          </v:shape>
          <o:OLEObject Type="Embed" ProgID="Excel.Sheet.8" ShapeID="_x0000_i1026" DrawAspect="Content" ObjectID="_1468075726" r:id="rId9">
            <o:LockedField>false</o:LockedField>
          </o:OLEObject>
        </w:object>
      </w:r>
    </w:p>
    <w:p>
      <w:pPr>
        <w:widowControl/>
        <w:ind w:left="1050" w:hanging="1054" w:hangingChars="500"/>
        <w:jc w:val="both"/>
        <w:rPr>
          <w:rFonts w:ascii="仿宋_GB2312" w:eastAsia="仿宋_GB2312"/>
          <w:b/>
          <w:bCs/>
          <w:kern w:val="0"/>
          <w:szCs w:val="21"/>
        </w:rPr>
      </w:pPr>
    </w:p>
    <w:p>
      <w:pPr>
        <w:widowControl/>
        <w:ind w:left="1050" w:hanging="1050" w:hangingChars="500"/>
        <w:jc w:val="center"/>
        <w:rPr>
          <w:rFonts w:ascii="仿宋_GB2312" w:eastAsia="仿宋_GB2312"/>
          <w:bCs/>
          <w:kern w:val="0"/>
          <w:szCs w:val="21"/>
        </w:rPr>
      </w:pPr>
      <w:r>
        <w:rPr>
          <w:rFonts w:ascii="仿宋_GB2312" w:eastAsia="仿宋_GB2312"/>
          <w:bCs/>
          <w:kern w:val="0"/>
          <w:szCs w:val="21"/>
        </w:rPr>
        <w:object>
          <v:shape id="_x0000_i1027" o:spt="75" type="#_x0000_t75" style="height:406.5pt;width:696pt;" o:ole="t" filled="f" o:preferrelative="t" stroked="f" coordsize="21600,21600">
            <v:path/>
            <v:fill on="f" focussize="0,0"/>
            <v:stroke on="f"/>
            <v:imagedata r:id="rId12" o:title=""/>
            <o:lock v:ext="edit" aspectratio="f"/>
            <w10:wrap type="none"/>
            <w10:anchorlock/>
          </v:shape>
          <o:OLEObject Type="Embed" ProgID="Excel.Sheet.8" ShapeID="_x0000_i1027" DrawAspect="Content" ObjectID="_1468075727" r:id="rId11">
            <o:LockedField>false</o:LockedField>
          </o:OLEObject>
        </w:object>
      </w:r>
    </w:p>
    <w:p>
      <w:pPr>
        <w:widowControl/>
        <w:jc w:val="left"/>
        <w:rPr>
          <w:rFonts w:ascii="仿宋_GB2312" w:eastAsia="仿宋_GB2312"/>
          <w:b/>
          <w:bCs/>
          <w:kern w:val="0"/>
          <w:sz w:val="84"/>
          <w:szCs w:val="84"/>
        </w:rPr>
      </w:pPr>
      <w:r>
        <w:object>
          <v:shape id="_x0000_i1028" o:spt="75" type="#_x0000_t75" style="height:500.2pt;width:640.35pt;" o:ole="t" filled="f" o:preferrelative="t" stroked="f" coordsize="21600,21600">
            <v:path/>
            <v:fill on="f" focussize="0,0"/>
            <v:stroke on="f"/>
            <v:imagedata r:id="rId14" grayscale="f" bilevel="f" o:title=""/>
            <o:lock v:ext="edit" aspectratio="f"/>
            <w10:wrap type="none"/>
            <w10:anchorlock/>
          </v:shape>
          <o:OLEObject Type="Embed" ProgID="Excel.Sheet.8" ShapeID="_x0000_i1028" DrawAspect="Content" ObjectID="_1468075728" r:id="rId13">
            <o:LockedField>false</o:LockedField>
          </o:OLEObject>
        </w:object>
      </w:r>
    </w:p>
    <w:p>
      <w:pPr>
        <w:widowControl/>
        <w:ind w:left="4200" w:hanging="4216" w:hangingChars="500"/>
        <w:jc w:val="left"/>
        <w:rPr>
          <w:rFonts w:ascii="仿宋_GB2312" w:eastAsia="仿宋_GB2312"/>
          <w:b/>
          <w:bCs/>
          <w:kern w:val="0"/>
          <w:sz w:val="84"/>
          <w:szCs w:val="84"/>
        </w:rPr>
      </w:pPr>
    </w:p>
    <w:p>
      <w:pPr>
        <w:widowControl/>
        <w:ind w:left="1050" w:hanging="1050" w:hangingChars="500"/>
        <w:jc w:val="left"/>
        <w:rPr>
          <w:rFonts w:ascii="仿宋_GB2312" w:eastAsia="仿宋_GB2312"/>
          <w:bCs/>
          <w:kern w:val="0"/>
          <w:szCs w:val="21"/>
        </w:rPr>
      </w:pPr>
      <w:r>
        <w:rPr>
          <w:rFonts w:ascii="仿宋_GB2312" w:eastAsia="仿宋_GB2312"/>
          <w:bCs/>
          <w:kern w:val="0"/>
          <w:szCs w:val="21"/>
        </w:rPr>
        <w:object>
          <v:shape id="_x0000_i1029" o:spt="75" type="#_x0000_t75" style="height:389.25pt;width:553.5pt;" o:ole="t" filled="f" o:preferrelative="t" stroked="f" coordsize="21600,21600">
            <v:path/>
            <v:fill on="f" focussize="0,0"/>
            <v:stroke on="f"/>
            <v:imagedata r:id="rId16" o:title=""/>
            <o:lock v:ext="edit" aspectratio="f"/>
            <w10:wrap type="none"/>
            <w10:anchorlock/>
          </v:shape>
          <o:OLEObject Type="Embed" ProgID="Excel.Sheet.8" ShapeID="_x0000_i1029" DrawAspect="Content" ObjectID="_1468075729" r:id="rId15">
            <o:LockedField>false</o:LockedField>
          </o:OLEObject>
        </w:object>
      </w:r>
    </w:p>
    <w:p>
      <w:pPr>
        <w:widowControl/>
        <w:ind w:left="4200" w:hanging="4216" w:hangingChars="500"/>
        <w:rPr>
          <w:rFonts w:ascii="仿宋_GB2312" w:eastAsia="仿宋_GB2312"/>
          <w:b/>
          <w:bCs/>
          <w:kern w:val="0"/>
          <w:sz w:val="84"/>
          <w:szCs w:val="84"/>
        </w:rPr>
      </w:pPr>
      <w:r>
        <w:rPr>
          <w:rFonts w:ascii="仿宋_GB2312" w:eastAsia="仿宋_GB2312"/>
          <w:b/>
          <w:bCs/>
          <w:kern w:val="0"/>
          <w:sz w:val="84"/>
          <w:szCs w:val="84"/>
        </w:rPr>
        <w:object>
          <v:shape id="_x0000_i1030" o:spt="75" type="#_x0000_t75" style="height:510.15pt;width:705.3pt;" o:ole="t" filled="f" o:preferrelative="t" stroked="f" coordsize="21600,21600">
            <v:path/>
            <v:fill on="f" focussize="0,0"/>
            <v:stroke on="f"/>
            <v:imagedata r:id="rId18" o:title=""/>
            <o:lock v:ext="edit" aspectratio="f"/>
            <w10:wrap type="none"/>
            <w10:anchorlock/>
          </v:shape>
          <o:OLEObject Type="Embed" ProgID="Excel.Sheet.8" ShapeID="_x0000_i1030" DrawAspect="Content" ObjectID="_1468075730" r:id="rId17">
            <o:LockedField>false</o:LockedField>
          </o:OLEObject>
        </w:object>
      </w:r>
    </w:p>
    <w:p>
      <w:pPr>
        <w:widowControl/>
        <w:ind w:left="4200" w:hanging="4216" w:hangingChars="500"/>
        <w:rPr>
          <w:rFonts w:ascii="仿宋_GB2312" w:eastAsia="仿宋_GB2312"/>
          <w:b/>
          <w:bCs/>
          <w:kern w:val="0"/>
          <w:sz w:val="84"/>
          <w:szCs w:val="84"/>
        </w:rPr>
      </w:pPr>
      <w:r>
        <w:rPr>
          <w:rFonts w:ascii="仿宋_GB2312" w:eastAsia="仿宋_GB2312"/>
          <w:b/>
          <w:bCs/>
          <w:kern w:val="0"/>
          <w:sz w:val="84"/>
          <w:szCs w:val="84"/>
        </w:rPr>
        <w:object>
          <v:shape id="_x0000_i1031" o:spt="75" type="#_x0000_t75" style="height:174.75pt;width:692.25pt;" o:ole="t" filled="f" o:preferrelative="t" stroked="f" coordsize="21600,21600">
            <v:path/>
            <v:fill on="f" focussize="0,0"/>
            <v:stroke on="f"/>
            <v:imagedata r:id="rId20" o:title=""/>
            <o:lock v:ext="edit" aspectratio="f"/>
            <w10:wrap type="none"/>
            <w10:anchorlock/>
          </v:shape>
          <o:OLEObject Type="Embed" ProgID="Excel.Sheet.8" ShapeID="_x0000_i1031" DrawAspect="Content" ObjectID="_1468075731" r:id="rId19">
            <o:LockedField>false</o:LockedField>
          </o:OLEObject>
        </w:object>
      </w:r>
    </w:p>
    <w:p>
      <w:pPr>
        <w:widowControl/>
        <w:ind w:left="4200" w:hanging="4216" w:hangingChars="500"/>
        <w:rPr>
          <w:rFonts w:ascii="仿宋_GB2312" w:eastAsia="仿宋_GB2312"/>
          <w:b/>
          <w:bCs/>
          <w:kern w:val="0"/>
          <w:sz w:val="84"/>
          <w:szCs w:val="84"/>
        </w:rPr>
      </w:pPr>
    </w:p>
    <w:p>
      <w:pPr>
        <w:widowControl/>
        <w:ind w:left="1"/>
        <w:jc w:val="center"/>
        <w:rPr>
          <w:rFonts w:ascii="仿宋_GB2312" w:eastAsia="仿宋_GB2312"/>
          <w:b/>
          <w:bCs/>
          <w:kern w:val="0"/>
          <w:sz w:val="84"/>
          <w:szCs w:val="84"/>
        </w:rPr>
      </w:pPr>
    </w:p>
    <w:p>
      <w:pPr>
        <w:widowControl/>
        <w:ind w:left="1"/>
        <w:jc w:val="center"/>
        <w:rPr>
          <w:rFonts w:ascii="仿宋_GB2312" w:eastAsia="仿宋_GB2312"/>
          <w:b/>
          <w:bCs/>
          <w:kern w:val="0"/>
          <w:sz w:val="84"/>
          <w:szCs w:val="84"/>
        </w:rPr>
      </w:pPr>
    </w:p>
    <w:p>
      <w:pPr>
        <w:widowControl/>
        <w:ind w:left="1"/>
        <w:jc w:val="left"/>
        <w:rPr>
          <w:rFonts w:ascii="仿宋_GB2312" w:eastAsia="仿宋_GB2312"/>
          <w:bCs/>
          <w:kern w:val="0"/>
          <w:sz w:val="84"/>
          <w:szCs w:val="84"/>
        </w:rPr>
      </w:pPr>
    </w:p>
    <w:p>
      <w:pPr>
        <w:widowControl/>
        <w:rPr>
          <w:rFonts w:ascii="仿宋_GB2312" w:eastAsia="仿宋_GB2312"/>
          <w:b/>
          <w:bCs/>
          <w:kern w:val="0"/>
          <w:sz w:val="84"/>
          <w:szCs w:val="84"/>
        </w:rPr>
      </w:pPr>
    </w:p>
    <w:p>
      <w:pPr>
        <w:widowControl/>
        <w:ind w:left="4200" w:hanging="1050" w:hangingChars="500"/>
        <w:jc w:val="center"/>
        <w:rPr>
          <w:rFonts w:ascii="仿宋_GB2312" w:eastAsia="仿宋_GB2312"/>
          <w:b/>
          <w:bCs/>
          <w:kern w:val="0"/>
          <w:sz w:val="84"/>
          <w:szCs w:val="84"/>
        </w:rPr>
      </w:pPr>
      <w:r>
        <w:object>
          <v:shape id="_x0000_i1032" o:spt="75" type="#_x0000_t75" style="height:241.5pt;width:751.5pt;" o:ole="t" filled="f" o:preferrelative="t" stroked="f" coordsize="21600,21600">
            <v:path/>
            <v:fill on="f" focussize="0,0"/>
            <v:stroke on="f"/>
            <v:imagedata r:id="rId22" grayscale="f" bilevel="f" o:title=""/>
            <o:lock v:ext="edit" aspectratio="f"/>
            <w10:wrap type="none"/>
            <w10:anchorlock/>
          </v:shape>
          <o:OLEObject Type="Embed" ProgID="Excel.Sheet.8" ShapeID="_x0000_i1032" DrawAspect="Content" ObjectID="_1468075732" r:id="rId21">
            <o:LockedField>false</o:LockedField>
          </o:OLEObject>
        </w:object>
      </w:r>
    </w:p>
    <w:p>
      <w:pPr>
        <w:widowControl/>
        <w:ind w:left="4200" w:hanging="4216" w:hangingChars="500"/>
        <w:jc w:val="center"/>
        <w:rPr>
          <w:rFonts w:ascii="仿宋_GB2312" w:eastAsia="仿宋_GB2312"/>
          <w:b/>
          <w:bCs/>
          <w:kern w:val="0"/>
          <w:sz w:val="84"/>
          <w:szCs w:val="84"/>
        </w:rPr>
      </w:pPr>
    </w:p>
    <w:p>
      <w:pPr>
        <w:widowControl/>
        <w:ind w:left="4200" w:hanging="4216" w:hangingChars="500"/>
        <w:jc w:val="center"/>
        <w:rPr>
          <w:rFonts w:ascii="仿宋_GB2312" w:eastAsia="仿宋_GB2312"/>
          <w:b/>
          <w:bCs/>
          <w:kern w:val="0"/>
          <w:sz w:val="84"/>
          <w:szCs w:val="84"/>
        </w:rPr>
        <w:sectPr>
          <w:footerReference r:id="rId4" w:type="default"/>
          <w:pgSz w:w="16838" w:h="11906" w:orient="landscape"/>
          <w:pgMar w:top="680" w:right="1361" w:bottom="680" w:left="1361" w:header="851" w:footer="992" w:gutter="0"/>
          <w:pgNumType w:start="5"/>
          <w:cols w:space="720" w:num="1"/>
          <w:docGrid w:type="lines" w:linePitch="312" w:charSpace="0"/>
        </w:sectPr>
      </w:pPr>
    </w:p>
    <w:p>
      <w:pPr>
        <w:widowControl/>
        <w:ind w:left="4200" w:hanging="4216" w:hangingChars="500"/>
        <w:jc w:val="center"/>
        <w:rPr>
          <w:rFonts w:ascii="仿宋_GB2312" w:eastAsia="仿宋_GB2312"/>
          <w:b/>
          <w:bCs/>
          <w:kern w:val="0"/>
          <w:sz w:val="84"/>
          <w:szCs w:val="84"/>
        </w:rPr>
      </w:pPr>
    </w:p>
    <w:p>
      <w:pPr>
        <w:widowControl/>
        <w:ind w:left="4200" w:hanging="4216" w:hangingChars="500"/>
        <w:jc w:val="center"/>
        <w:rPr>
          <w:rFonts w:ascii="仿宋_GB2312" w:eastAsia="仿宋_GB2312"/>
          <w:b/>
          <w:bCs/>
          <w:kern w:val="0"/>
          <w:sz w:val="84"/>
          <w:szCs w:val="84"/>
        </w:rPr>
      </w:pPr>
    </w:p>
    <w:p>
      <w:pPr>
        <w:widowControl/>
        <w:ind w:left="4200" w:hanging="4216" w:hangingChars="500"/>
        <w:jc w:val="center"/>
        <w:rPr>
          <w:rFonts w:ascii="仿宋_GB2312" w:eastAsia="仿宋_GB2312"/>
          <w:b/>
          <w:bCs/>
          <w:kern w:val="0"/>
          <w:sz w:val="84"/>
          <w:szCs w:val="84"/>
        </w:rPr>
      </w:pPr>
    </w:p>
    <w:p>
      <w:pPr>
        <w:widowControl/>
        <w:ind w:left="4200" w:hanging="4200" w:hangingChars="500"/>
        <w:jc w:val="center"/>
        <w:rPr>
          <w:rFonts w:ascii="黑体" w:hAnsi="黑体" w:eastAsia="黑体"/>
          <w:bCs/>
          <w:kern w:val="0"/>
          <w:sz w:val="84"/>
          <w:szCs w:val="84"/>
        </w:rPr>
      </w:pPr>
      <w:r>
        <w:rPr>
          <w:rFonts w:hint="eastAsia" w:ascii="黑体" w:hAnsi="黑体" w:eastAsia="黑体"/>
          <w:bCs/>
          <w:kern w:val="0"/>
          <w:sz w:val="84"/>
          <w:szCs w:val="84"/>
        </w:rPr>
        <w:t>第三部分</w:t>
      </w:r>
    </w:p>
    <w:p>
      <w:pPr>
        <w:widowControl/>
        <w:tabs>
          <w:tab w:val="left" w:pos="2268"/>
        </w:tabs>
        <w:ind w:left="-4" w:leftChars="-2" w:firstLine="4"/>
        <w:jc w:val="center"/>
        <w:rPr>
          <w:rFonts w:ascii="黑体" w:hAnsi="黑体" w:eastAsia="黑体"/>
          <w:bCs/>
          <w:kern w:val="0"/>
          <w:sz w:val="84"/>
          <w:szCs w:val="84"/>
        </w:rPr>
      </w:pPr>
      <w:r>
        <w:rPr>
          <w:rFonts w:hint="eastAsia" w:ascii="黑体" w:hAnsi="黑体" w:eastAsia="黑体"/>
          <w:bCs/>
          <w:kern w:val="0"/>
          <w:sz w:val="84"/>
          <w:szCs w:val="84"/>
        </w:rPr>
        <w:t>201</w:t>
      </w:r>
      <w:r>
        <w:rPr>
          <w:rFonts w:hint="eastAsia" w:ascii="黑体" w:hAnsi="黑体" w:eastAsia="黑体"/>
          <w:bCs/>
          <w:kern w:val="0"/>
          <w:sz w:val="84"/>
          <w:szCs w:val="84"/>
          <w:lang w:val="en-US" w:eastAsia="zh-CN"/>
        </w:rPr>
        <w:t>8</w:t>
      </w:r>
      <w:r>
        <w:rPr>
          <w:rFonts w:hint="eastAsia" w:ascii="黑体" w:hAnsi="黑体" w:eastAsia="黑体"/>
          <w:bCs/>
          <w:kern w:val="0"/>
          <w:sz w:val="84"/>
          <w:szCs w:val="84"/>
        </w:rPr>
        <w:t>年度部门决算</w:t>
      </w:r>
    </w:p>
    <w:p>
      <w:pPr>
        <w:widowControl/>
        <w:tabs>
          <w:tab w:val="left" w:pos="2268"/>
        </w:tabs>
        <w:ind w:left="-4" w:leftChars="-2" w:firstLine="4"/>
        <w:jc w:val="center"/>
        <w:rPr>
          <w:rFonts w:ascii="黑体" w:hAnsi="黑体" w:eastAsia="黑体"/>
          <w:bCs/>
          <w:kern w:val="0"/>
          <w:sz w:val="84"/>
          <w:szCs w:val="84"/>
        </w:rPr>
      </w:pPr>
      <w:r>
        <w:rPr>
          <w:rFonts w:hint="eastAsia" w:ascii="黑体" w:hAnsi="黑体" w:eastAsia="黑体"/>
          <w:bCs/>
          <w:kern w:val="0"/>
          <w:sz w:val="84"/>
          <w:szCs w:val="84"/>
        </w:rPr>
        <w:t>情况说明</w:t>
      </w:r>
    </w:p>
    <w:p>
      <w:pPr>
        <w:widowControl/>
        <w:ind w:left="2200" w:hanging="2209" w:hangingChars="500"/>
        <w:rPr>
          <w:rFonts w:ascii="仿宋_GB2312" w:eastAsia="仿宋_GB2312"/>
          <w:b/>
          <w:bCs/>
          <w:kern w:val="0"/>
          <w:sz w:val="44"/>
          <w:szCs w:val="44"/>
        </w:rPr>
      </w:pPr>
    </w:p>
    <w:p>
      <w:pPr>
        <w:widowControl/>
        <w:ind w:left="2200" w:hanging="2209" w:hangingChars="500"/>
        <w:rPr>
          <w:rFonts w:ascii="仿宋_GB2312" w:eastAsia="仿宋_GB2312"/>
          <w:b/>
          <w:bCs/>
          <w:kern w:val="0"/>
          <w:sz w:val="44"/>
          <w:szCs w:val="44"/>
        </w:rPr>
      </w:pPr>
    </w:p>
    <w:p>
      <w:pPr>
        <w:widowControl/>
        <w:ind w:left="2200" w:hanging="2209" w:hangingChars="500"/>
        <w:rPr>
          <w:rFonts w:ascii="仿宋_GB2312" w:eastAsia="仿宋_GB2312"/>
          <w:b/>
          <w:bCs/>
          <w:kern w:val="0"/>
          <w:sz w:val="44"/>
          <w:szCs w:val="44"/>
        </w:rPr>
      </w:pPr>
    </w:p>
    <w:p>
      <w:pPr>
        <w:widowControl/>
        <w:ind w:left="2200" w:hanging="2209" w:hangingChars="500"/>
        <w:rPr>
          <w:rFonts w:ascii="仿宋_GB2312" w:eastAsia="仿宋_GB2312"/>
          <w:b/>
          <w:bCs/>
          <w:kern w:val="0"/>
          <w:sz w:val="44"/>
          <w:szCs w:val="44"/>
        </w:rPr>
      </w:pPr>
    </w:p>
    <w:p>
      <w:pPr>
        <w:widowControl/>
        <w:ind w:left="2200" w:hanging="2209" w:hangingChars="500"/>
        <w:rPr>
          <w:rFonts w:ascii="仿宋_GB2312" w:eastAsia="仿宋_GB2312"/>
          <w:b/>
          <w:bCs/>
          <w:kern w:val="0"/>
          <w:sz w:val="44"/>
          <w:szCs w:val="44"/>
        </w:rPr>
      </w:pPr>
    </w:p>
    <w:p>
      <w:pPr>
        <w:widowControl/>
        <w:ind w:left="2200" w:hanging="2209" w:hangingChars="500"/>
        <w:rPr>
          <w:rFonts w:ascii="仿宋_GB2312" w:eastAsia="仿宋_GB2312"/>
          <w:b/>
          <w:bCs/>
          <w:kern w:val="0"/>
          <w:sz w:val="44"/>
          <w:szCs w:val="44"/>
        </w:rPr>
      </w:pPr>
    </w:p>
    <w:p>
      <w:pPr>
        <w:widowControl/>
        <w:ind w:left="2200" w:hanging="2209" w:hangingChars="500"/>
        <w:rPr>
          <w:rFonts w:ascii="仿宋_GB2312" w:eastAsia="仿宋_GB2312"/>
          <w:b/>
          <w:bCs/>
          <w:kern w:val="0"/>
          <w:sz w:val="44"/>
          <w:szCs w:val="44"/>
        </w:rPr>
      </w:pPr>
    </w:p>
    <w:p>
      <w:pPr>
        <w:widowControl/>
        <w:ind w:left="2200" w:hanging="2209" w:hangingChars="500"/>
        <w:rPr>
          <w:rFonts w:ascii="仿宋_GB2312" w:eastAsia="仿宋_GB2312"/>
          <w:b/>
          <w:bCs/>
          <w:kern w:val="0"/>
          <w:sz w:val="44"/>
          <w:szCs w:val="44"/>
        </w:rPr>
      </w:pPr>
    </w:p>
    <w:p>
      <w:pPr>
        <w:widowControl/>
        <w:ind w:left="2200" w:hanging="2209" w:hangingChars="500"/>
        <w:rPr>
          <w:rFonts w:ascii="仿宋_GB2312" w:eastAsia="仿宋_GB2312"/>
          <w:b/>
          <w:bCs/>
          <w:kern w:val="0"/>
          <w:sz w:val="44"/>
          <w:szCs w:val="44"/>
        </w:rPr>
      </w:pPr>
    </w:p>
    <w:p>
      <w:pPr>
        <w:widowControl/>
        <w:ind w:left="2200" w:hanging="2209" w:hangingChars="500"/>
        <w:rPr>
          <w:rFonts w:ascii="仿宋_GB2312" w:eastAsia="仿宋_GB2312"/>
          <w:b/>
          <w:bCs/>
          <w:kern w:val="0"/>
          <w:sz w:val="44"/>
          <w:szCs w:val="44"/>
        </w:rPr>
      </w:pPr>
    </w:p>
    <w:p>
      <w:pPr>
        <w:keepNext w:val="0"/>
        <w:keepLines w:val="0"/>
        <w:pageBreakBefore w:val="0"/>
        <w:widowControl/>
        <w:kinsoku/>
        <w:wordWrap/>
        <w:overflowPunct/>
        <w:topLinePunct w:val="0"/>
        <w:bidi w:val="0"/>
        <w:spacing w:line="600" w:lineRule="exact"/>
        <w:ind w:firstLine="640" w:firstLineChars="200"/>
        <w:textAlignment w:val="auto"/>
        <w:rPr>
          <w:rFonts w:ascii="黑体" w:hAnsi="黑体" w:eastAsia="黑体"/>
          <w:kern w:val="0"/>
          <w:sz w:val="32"/>
          <w:szCs w:val="32"/>
        </w:rPr>
      </w:pPr>
      <w:r>
        <w:rPr>
          <w:rFonts w:hint="eastAsia" w:ascii="黑体" w:hAnsi="黑体" w:eastAsia="黑体"/>
          <w:kern w:val="0"/>
          <w:sz w:val="32"/>
          <w:szCs w:val="32"/>
        </w:rPr>
        <w:t>一、收入支出决算总体情况说明</w:t>
      </w:r>
    </w:p>
    <w:p>
      <w:pPr>
        <w:keepNext w:val="0"/>
        <w:keepLines w:val="0"/>
        <w:pageBreakBefore w:val="0"/>
        <w:kinsoku/>
        <w:wordWrap/>
        <w:overflowPunct/>
        <w:topLinePunct w:val="0"/>
        <w:bidi w:val="0"/>
        <w:spacing w:line="600" w:lineRule="exact"/>
        <w:ind w:firstLine="640" w:firstLineChars="200"/>
        <w:textAlignment w:val="auto"/>
        <w:rPr>
          <w:rFonts w:hint="eastAsia" w:asciiTheme="majorEastAsia" w:hAnsiTheme="majorEastAsia" w:eastAsiaTheme="majorEastAsia"/>
          <w:sz w:val="32"/>
          <w:szCs w:val="28"/>
          <w:lang w:val="en-US" w:eastAsia="zh-CN"/>
        </w:rPr>
      </w:pPr>
      <w:r>
        <w:rPr>
          <w:rFonts w:hint="eastAsia" w:asciiTheme="majorEastAsia" w:hAnsiTheme="majorEastAsia" w:eastAsiaTheme="majorEastAsia"/>
          <w:sz w:val="32"/>
          <w:szCs w:val="28"/>
        </w:rPr>
        <w:t>201</w:t>
      </w:r>
      <w:r>
        <w:rPr>
          <w:rFonts w:hint="eastAsia" w:asciiTheme="majorEastAsia" w:hAnsiTheme="majorEastAsia" w:eastAsiaTheme="majorEastAsia"/>
          <w:sz w:val="32"/>
          <w:szCs w:val="28"/>
          <w:lang w:val="en-US" w:eastAsia="zh-CN"/>
        </w:rPr>
        <w:t>8</w:t>
      </w:r>
      <w:r>
        <w:rPr>
          <w:rFonts w:hint="eastAsia" w:asciiTheme="majorEastAsia" w:hAnsiTheme="majorEastAsia" w:eastAsiaTheme="majorEastAsia"/>
          <w:sz w:val="32"/>
          <w:szCs w:val="28"/>
        </w:rPr>
        <w:t>年度收、支总计</w:t>
      </w:r>
      <w:r>
        <w:rPr>
          <w:rFonts w:hint="eastAsia" w:asciiTheme="majorEastAsia" w:hAnsiTheme="majorEastAsia" w:eastAsiaTheme="majorEastAsia"/>
          <w:sz w:val="32"/>
          <w:szCs w:val="28"/>
          <w:lang w:val="en-US" w:eastAsia="zh-CN"/>
        </w:rPr>
        <w:t>553.42</w:t>
      </w:r>
      <w:r>
        <w:rPr>
          <w:rFonts w:hint="eastAsia" w:asciiTheme="majorEastAsia" w:hAnsiTheme="majorEastAsia" w:eastAsiaTheme="majorEastAsia"/>
          <w:sz w:val="32"/>
          <w:szCs w:val="28"/>
        </w:rPr>
        <w:t>万元。与201</w:t>
      </w:r>
      <w:r>
        <w:rPr>
          <w:rFonts w:hint="eastAsia" w:asciiTheme="majorEastAsia" w:hAnsiTheme="majorEastAsia" w:eastAsiaTheme="majorEastAsia"/>
          <w:sz w:val="32"/>
          <w:szCs w:val="28"/>
          <w:lang w:val="en-US" w:eastAsia="zh-CN"/>
        </w:rPr>
        <w:t>7</w:t>
      </w:r>
      <w:r>
        <w:rPr>
          <w:rFonts w:hint="eastAsia" w:asciiTheme="majorEastAsia" w:hAnsiTheme="majorEastAsia" w:eastAsiaTheme="majorEastAsia"/>
          <w:sz w:val="32"/>
          <w:szCs w:val="28"/>
        </w:rPr>
        <w:t>年相比，增加170.06万元，增长</w:t>
      </w:r>
      <w:r>
        <w:rPr>
          <w:rFonts w:hint="eastAsia" w:asciiTheme="majorEastAsia" w:hAnsiTheme="majorEastAsia" w:eastAsiaTheme="majorEastAsia"/>
          <w:sz w:val="32"/>
          <w:szCs w:val="28"/>
          <w:lang w:val="en-US" w:eastAsia="zh-CN"/>
        </w:rPr>
        <w:t>159.48</w:t>
      </w:r>
      <w:r>
        <w:rPr>
          <w:rFonts w:hint="eastAsia" w:asciiTheme="majorEastAsia" w:hAnsiTheme="majorEastAsia" w:eastAsiaTheme="majorEastAsia"/>
          <w:sz w:val="32"/>
          <w:szCs w:val="28"/>
        </w:rPr>
        <w:t>%，主要是因为单位深化改革，增加了人员编制以及承办的活动增多导致的</w:t>
      </w:r>
      <w:r>
        <w:rPr>
          <w:rFonts w:hint="eastAsia" w:asciiTheme="majorEastAsia" w:hAnsiTheme="majorEastAsia" w:eastAsiaTheme="majorEastAsia"/>
          <w:sz w:val="32"/>
          <w:szCs w:val="28"/>
          <w:lang w:eastAsia="zh-CN"/>
        </w:rPr>
        <w:t>。</w:t>
      </w:r>
    </w:p>
    <w:p>
      <w:pPr>
        <w:keepNext w:val="0"/>
        <w:keepLines w:val="0"/>
        <w:pageBreakBefore w:val="0"/>
        <w:kinsoku/>
        <w:wordWrap/>
        <w:overflowPunct/>
        <w:topLinePunct w:val="0"/>
        <w:bidi w:val="0"/>
        <w:spacing w:line="600" w:lineRule="exact"/>
        <w:ind w:firstLine="640" w:firstLineChars="200"/>
        <w:textAlignment w:val="auto"/>
        <w:rPr>
          <w:rFonts w:ascii="黑体" w:hAnsi="黑体" w:eastAsia="黑体"/>
          <w:kern w:val="0"/>
          <w:sz w:val="32"/>
          <w:szCs w:val="32"/>
        </w:rPr>
      </w:pPr>
      <w:r>
        <w:rPr>
          <w:rFonts w:hint="eastAsia" w:ascii="黑体" w:hAnsi="黑体" w:eastAsia="黑体"/>
          <w:kern w:val="0"/>
          <w:sz w:val="32"/>
          <w:szCs w:val="32"/>
        </w:rPr>
        <w:t>二、收入决算情况说明</w:t>
      </w:r>
    </w:p>
    <w:p>
      <w:pPr>
        <w:pStyle w:val="12"/>
        <w:keepNext w:val="0"/>
        <w:keepLines w:val="0"/>
        <w:pageBreakBefore w:val="0"/>
        <w:kinsoku/>
        <w:wordWrap/>
        <w:overflowPunct/>
        <w:topLinePunct w:val="0"/>
        <w:bidi w:val="0"/>
        <w:spacing w:line="600" w:lineRule="exact"/>
        <w:ind w:firstLine="640" w:firstLineChars="200"/>
        <w:textAlignment w:val="auto"/>
        <w:rPr>
          <w:rFonts w:asciiTheme="minorEastAsia" w:hAnsiTheme="minorEastAsia" w:eastAsiaTheme="minorEastAsia"/>
          <w:sz w:val="32"/>
          <w:szCs w:val="32"/>
        </w:rPr>
      </w:pPr>
      <w:r>
        <w:rPr>
          <w:rFonts w:hint="eastAsia" w:asciiTheme="minorEastAsia" w:hAnsiTheme="minorEastAsia" w:eastAsiaTheme="minorEastAsia"/>
          <w:sz w:val="32"/>
          <w:szCs w:val="32"/>
        </w:rPr>
        <w:t>本年收入合计</w:t>
      </w:r>
      <w:r>
        <w:rPr>
          <w:rFonts w:hint="eastAsia" w:asciiTheme="minorEastAsia" w:hAnsiTheme="minorEastAsia" w:eastAsiaTheme="minorEastAsia"/>
          <w:sz w:val="32"/>
          <w:szCs w:val="32"/>
          <w:lang w:val="en-US" w:eastAsia="zh-CN"/>
        </w:rPr>
        <w:t>276.71</w:t>
      </w:r>
      <w:r>
        <w:rPr>
          <w:rFonts w:hint="eastAsia" w:asciiTheme="minorEastAsia" w:hAnsiTheme="minorEastAsia" w:eastAsiaTheme="minorEastAsia"/>
          <w:sz w:val="32"/>
          <w:szCs w:val="32"/>
        </w:rPr>
        <w:t>万元，其中：财政拨款收入</w:t>
      </w:r>
      <w:r>
        <w:rPr>
          <w:rFonts w:hint="eastAsia" w:asciiTheme="minorEastAsia" w:hAnsiTheme="minorEastAsia" w:eastAsiaTheme="minorEastAsia"/>
          <w:sz w:val="32"/>
          <w:szCs w:val="32"/>
          <w:lang w:val="en-US" w:eastAsia="zh-CN"/>
        </w:rPr>
        <w:t>276.71</w:t>
      </w:r>
      <w:r>
        <w:rPr>
          <w:rFonts w:hint="eastAsia" w:asciiTheme="minorEastAsia" w:hAnsiTheme="minorEastAsia" w:eastAsiaTheme="minorEastAsia"/>
          <w:sz w:val="32"/>
          <w:szCs w:val="32"/>
        </w:rPr>
        <w:t>万元，占</w:t>
      </w:r>
      <w:r>
        <w:rPr>
          <w:rFonts w:hint="eastAsia" w:asciiTheme="minorEastAsia" w:hAnsiTheme="minorEastAsia" w:eastAsiaTheme="minorEastAsia"/>
          <w:sz w:val="32"/>
          <w:szCs w:val="32"/>
          <w:lang w:val="en-US" w:eastAsia="zh-CN"/>
        </w:rPr>
        <w:t>100</w:t>
      </w:r>
      <w:r>
        <w:rPr>
          <w:rFonts w:hint="eastAsia" w:asciiTheme="minorEastAsia" w:hAnsiTheme="minorEastAsia" w:eastAsiaTheme="minorEastAsia"/>
          <w:sz w:val="32"/>
          <w:szCs w:val="32"/>
        </w:rPr>
        <w:t>%；上级补助收入</w:t>
      </w:r>
      <w:r>
        <w:rPr>
          <w:rFonts w:hint="eastAsia" w:asciiTheme="minorEastAsia" w:hAnsiTheme="minorEastAsia" w:eastAsiaTheme="minorEastAsia"/>
          <w:sz w:val="32"/>
          <w:szCs w:val="32"/>
          <w:lang w:val="en-US" w:eastAsia="zh-CN"/>
        </w:rPr>
        <w:t>0</w:t>
      </w:r>
      <w:r>
        <w:rPr>
          <w:rFonts w:hint="eastAsia" w:asciiTheme="minorEastAsia" w:hAnsiTheme="minorEastAsia" w:eastAsiaTheme="minorEastAsia"/>
          <w:sz w:val="32"/>
          <w:szCs w:val="32"/>
        </w:rPr>
        <w:t>万元，占</w:t>
      </w:r>
      <w:r>
        <w:rPr>
          <w:rFonts w:hint="eastAsia" w:asciiTheme="minorEastAsia" w:hAnsiTheme="minorEastAsia" w:eastAsiaTheme="minorEastAsia"/>
          <w:sz w:val="32"/>
          <w:szCs w:val="32"/>
          <w:lang w:val="en-US" w:eastAsia="zh-CN"/>
        </w:rPr>
        <w:t>0</w:t>
      </w:r>
      <w:r>
        <w:rPr>
          <w:rFonts w:hint="eastAsia" w:asciiTheme="minorEastAsia" w:hAnsiTheme="minorEastAsia" w:eastAsiaTheme="minorEastAsia"/>
          <w:sz w:val="32"/>
          <w:szCs w:val="32"/>
        </w:rPr>
        <w:t>%；事业收入</w:t>
      </w:r>
      <w:r>
        <w:rPr>
          <w:rFonts w:hint="eastAsia" w:asciiTheme="minorEastAsia" w:hAnsiTheme="minorEastAsia" w:eastAsiaTheme="minorEastAsia"/>
          <w:sz w:val="32"/>
          <w:szCs w:val="32"/>
          <w:lang w:val="en-US" w:eastAsia="zh-CN"/>
        </w:rPr>
        <w:t>0</w:t>
      </w:r>
      <w:r>
        <w:rPr>
          <w:rFonts w:hint="eastAsia" w:asciiTheme="minorEastAsia" w:hAnsiTheme="minorEastAsia" w:eastAsiaTheme="minorEastAsia"/>
          <w:sz w:val="32"/>
          <w:szCs w:val="32"/>
        </w:rPr>
        <w:t>万元，占</w:t>
      </w:r>
      <w:r>
        <w:rPr>
          <w:rFonts w:hint="eastAsia" w:asciiTheme="minorEastAsia" w:hAnsiTheme="minorEastAsia" w:eastAsiaTheme="minorEastAsia"/>
          <w:sz w:val="32"/>
          <w:szCs w:val="32"/>
          <w:lang w:val="en-US" w:eastAsia="zh-CN"/>
        </w:rPr>
        <w:t>0</w:t>
      </w:r>
      <w:r>
        <w:rPr>
          <w:rFonts w:hint="eastAsia" w:asciiTheme="minorEastAsia" w:hAnsiTheme="minorEastAsia" w:eastAsiaTheme="minorEastAsia"/>
          <w:sz w:val="32"/>
          <w:szCs w:val="32"/>
        </w:rPr>
        <w:t>%；经营收入</w:t>
      </w:r>
      <w:r>
        <w:rPr>
          <w:rFonts w:hint="eastAsia" w:asciiTheme="minorEastAsia" w:hAnsiTheme="minorEastAsia" w:eastAsiaTheme="minorEastAsia"/>
          <w:sz w:val="32"/>
          <w:szCs w:val="32"/>
          <w:lang w:val="en-US" w:eastAsia="zh-CN"/>
        </w:rPr>
        <w:t>0</w:t>
      </w:r>
      <w:r>
        <w:rPr>
          <w:rFonts w:hint="eastAsia" w:asciiTheme="minorEastAsia" w:hAnsiTheme="minorEastAsia" w:eastAsiaTheme="minorEastAsia"/>
          <w:sz w:val="32"/>
          <w:szCs w:val="32"/>
        </w:rPr>
        <w:t>万元，占</w:t>
      </w:r>
      <w:r>
        <w:rPr>
          <w:rFonts w:hint="eastAsia" w:asciiTheme="minorEastAsia" w:hAnsiTheme="minorEastAsia" w:eastAsiaTheme="minorEastAsia"/>
          <w:sz w:val="32"/>
          <w:szCs w:val="32"/>
          <w:lang w:val="en-US" w:eastAsia="zh-CN"/>
        </w:rPr>
        <w:t>0</w:t>
      </w:r>
      <w:r>
        <w:rPr>
          <w:rFonts w:hint="eastAsia" w:asciiTheme="minorEastAsia" w:hAnsiTheme="minorEastAsia" w:eastAsiaTheme="minorEastAsia"/>
          <w:sz w:val="32"/>
          <w:szCs w:val="32"/>
        </w:rPr>
        <w:t>%；附属单位上缴收入</w:t>
      </w:r>
      <w:r>
        <w:rPr>
          <w:rFonts w:hint="eastAsia" w:asciiTheme="minorEastAsia" w:hAnsiTheme="minorEastAsia" w:eastAsiaTheme="minorEastAsia"/>
          <w:sz w:val="32"/>
          <w:szCs w:val="32"/>
          <w:lang w:val="en-US" w:eastAsia="zh-CN"/>
        </w:rPr>
        <w:t>0</w:t>
      </w:r>
      <w:r>
        <w:rPr>
          <w:rFonts w:hint="eastAsia" w:asciiTheme="minorEastAsia" w:hAnsiTheme="minorEastAsia" w:eastAsiaTheme="minorEastAsia"/>
          <w:sz w:val="32"/>
          <w:szCs w:val="32"/>
        </w:rPr>
        <w:t>万元，占</w:t>
      </w:r>
      <w:r>
        <w:rPr>
          <w:rFonts w:hint="eastAsia" w:asciiTheme="minorEastAsia" w:hAnsiTheme="minorEastAsia" w:eastAsiaTheme="minorEastAsia"/>
          <w:sz w:val="32"/>
          <w:szCs w:val="32"/>
          <w:lang w:val="en-US" w:eastAsia="zh-CN"/>
        </w:rPr>
        <w:t>0</w:t>
      </w:r>
      <w:r>
        <w:rPr>
          <w:rFonts w:hint="eastAsia" w:asciiTheme="minorEastAsia" w:hAnsiTheme="minorEastAsia" w:eastAsiaTheme="minorEastAsia"/>
          <w:sz w:val="32"/>
          <w:szCs w:val="32"/>
        </w:rPr>
        <w:t>%；其他收入</w:t>
      </w:r>
      <w:r>
        <w:rPr>
          <w:rFonts w:hint="eastAsia" w:asciiTheme="minorEastAsia" w:hAnsiTheme="minorEastAsia" w:eastAsiaTheme="minorEastAsia"/>
          <w:sz w:val="32"/>
          <w:szCs w:val="32"/>
          <w:lang w:val="en-US" w:eastAsia="zh-CN"/>
        </w:rPr>
        <w:t>0</w:t>
      </w:r>
      <w:r>
        <w:rPr>
          <w:rFonts w:hint="eastAsia" w:asciiTheme="minorEastAsia" w:hAnsiTheme="minorEastAsia" w:eastAsiaTheme="minorEastAsia"/>
          <w:sz w:val="32"/>
          <w:szCs w:val="32"/>
        </w:rPr>
        <w:t>万元，占</w:t>
      </w:r>
      <w:r>
        <w:rPr>
          <w:rFonts w:hint="eastAsia" w:asciiTheme="minorEastAsia" w:hAnsiTheme="minorEastAsia" w:eastAsiaTheme="minorEastAsia"/>
          <w:sz w:val="32"/>
          <w:szCs w:val="32"/>
          <w:lang w:val="en-US" w:eastAsia="zh-CN"/>
        </w:rPr>
        <w:t>0</w:t>
      </w:r>
      <w:r>
        <w:rPr>
          <w:rFonts w:hint="eastAsia" w:asciiTheme="minorEastAsia" w:hAnsiTheme="minorEastAsia" w:eastAsiaTheme="minorEastAsia"/>
          <w:sz w:val="32"/>
          <w:szCs w:val="32"/>
        </w:rPr>
        <w:t>%。</w:t>
      </w:r>
    </w:p>
    <w:p>
      <w:pPr>
        <w:keepNext w:val="0"/>
        <w:keepLines w:val="0"/>
        <w:pageBreakBefore w:val="0"/>
        <w:kinsoku/>
        <w:wordWrap/>
        <w:overflowPunct/>
        <w:topLinePunct w:val="0"/>
        <w:bidi w:val="0"/>
        <w:spacing w:line="600" w:lineRule="exact"/>
        <w:ind w:firstLine="640" w:firstLineChars="200"/>
        <w:textAlignment w:val="auto"/>
        <w:rPr>
          <w:rFonts w:ascii="黑体" w:hAnsi="黑体" w:eastAsia="黑体"/>
          <w:kern w:val="0"/>
          <w:sz w:val="32"/>
          <w:szCs w:val="32"/>
        </w:rPr>
      </w:pPr>
      <w:r>
        <w:rPr>
          <w:rFonts w:hint="eastAsia" w:ascii="黑体" w:hAnsi="黑体" w:eastAsia="黑体"/>
          <w:kern w:val="0"/>
          <w:sz w:val="32"/>
          <w:szCs w:val="32"/>
        </w:rPr>
        <w:t>三、支出决算情况说明</w:t>
      </w:r>
    </w:p>
    <w:p>
      <w:pPr>
        <w:pStyle w:val="12"/>
        <w:keepNext w:val="0"/>
        <w:keepLines w:val="0"/>
        <w:pageBreakBefore w:val="0"/>
        <w:kinsoku/>
        <w:wordWrap/>
        <w:overflowPunct/>
        <w:topLinePunct w:val="0"/>
        <w:bidi w:val="0"/>
        <w:spacing w:line="600" w:lineRule="exact"/>
        <w:ind w:firstLine="640" w:firstLineChars="200"/>
        <w:textAlignment w:val="auto"/>
        <w:rPr>
          <w:rFonts w:asciiTheme="minorEastAsia" w:hAnsiTheme="minorEastAsia" w:eastAsiaTheme="minorEastAsia"/>
          <w:sz w:val="32"/>
          <w:szCs w:val="32"/>
        </w:rPr>
      </w:pPr>
      <w:r>
        <w:rPr>
          <w:rFonts w:hint="eastAsia" w:asciiTheme="minorEastAsia" w:hAnsiTheme="minorEastAsia" w:eastAsiaTheme="minorEastAsia"/>
          <w:sz w:val="32"/>
          <w:szCs w:val="32"/>
        </w:rPr>
        <w:t>本年支出合计</w:t>
      </w:r>
      <w:r>
        <w:rPr>
          <w:rFonts w:hint="eastAsia" w:asciiTheme="minorEastAsia" w:hAnsiTheme="minorEastAsia" w:eastAsiaTheme="minorEastAsia"/>
          <w:sz w:val="32"/>
          <w:szCs w:val="32"/>
          <w:lang w:val="en-US" w:eastAsia="zh-CN"/>
        </w:rPr>
        <w:t>276.71</w:t>
      </w:r>
      <w:r>
        <w:rPr>
          <w:rFonts w:hint="eastAsia" w:asciiTheme="minorEastAsia" w:hAnsiTheme="minorEastAsia" w:eastAsiaTheme="minorEastAsia"/>
          <w:sz w:val="32"/>
          <w:szCs w:val="32"/>
        </w:rPr>
        <w:t>万元，其中：基本支出</w:t>
      </w:r>
      <w:r>
        <w:rPr>
          <w:rFonts w:hint="eastAsia" w:asciiTheme="minorEastAsia" w:hAnsiTheme="minorEastAsia" w:eastAsiaTheme="minorEastAsia"/>
          <w:sz w:val="32"/>
          <w:szCs w:val="32"/>
          <w:lang w:val="en-US" w:eastAsia="zh-CN"/>
        </w:rPr>
        <w:t>98.41</w:t>
      </w:r>
      <w:r>
        <w:rPr>
          <w:rFonts w:hint="eastAsia" w:asciiTheme="minorEastAsia" w:hAnsiTheme="minorEastAsia" w:eastAsiaTheme="minorEastAsia"/>
          <w:sz w:val="32"/>
          <w:szCs w:val="32"/>
        </w:rPr>
        <w:t>万元，占</w:t>
      </w:r>
      <w:r>
        <w:rPr>
          <w:rFonts w:hint="eastAsia" w:asciiTheme="minorEastAsia" w:hAnsiTheme="minorEastAsia" w:eastAsiaTheme="minorEastAsia"/>
          <w:sz w:val="32"/>
          <w:szCs w:val="32"/>
          <w:lang w:val="en-US" w:eastAsia="zh-CN"/>
        </w:rPr>
        <w:t>35.56</w:t>
      </w:r>
      <w:r>
        <w:rPr>
          <w:rFonts w:hint="eastAsia" w:asciiTheme="minorEastAsia" w:hAnsiTheme="minorEastAsia" w:eastAsiaTheme="minorEastAsia"/>
          <w:sz w:val="32"/>
          <w:szCs w:val="32"/>
        </w:rPr>
        <w:t>%；项目支出</w:t>
      </w:r>
      <w:r>
        <w:rPr>
          <w:rFonts w:hint="eastAsia" w:asciiTheme="minorEastAsia" w:hAnsiTheme="minorEastAsia" w:eastAsiaTheme="minorEastAsia"/>
          <w:sz w:val="32"/>
          <w:szCs w:val="32"/>
          <w:lang w:val="en-US" w:eastAsia="zh-CN"/>
        </w:rPr>
        <w:t>178.3</w:t>
      </w:r>
      <w:r>
        <w:rPr>
          <w:rFonts w:hint="eastAsia" w:asciiTheme="minorEastAsia" w:hAnsiTheme="minorEastAsia" w:eastAsiaTheme="minorEastAsia"/>
          <w:sz w:val="32"/>
          <w:szCs w:val="32"/>
        </w:rPr>
        <w:t>万元，占</w:t>
      </w:r>
      <w:r>
        <w:rPr>
          <w:rFonts w:hint="eastAsia" w:asciiTheme="minorEastAsia" w:hAnsiTheme="minorEastAsia" w:eastAsiaTheme="minorEastAsia"/>
          <w:sz w:val="32"/>
          <w:szCs w:val="32"/>
          <w:lang w:val="en-US" w:eastAsia="zh-CN"/>
        </w:rPr>
        <w:t>64.44</w:t>
      </w:r>
      <w:r>
        <w:rPr>
          <w:rFonts w:hint="eastAsia" w:asciiTheme="minorEastAsia" w:hAnsiTheme="minorEastAsia" w:eastAsiaTheme="minorEastAsia"/>
          <w:sz w:val="32"/>
          <w:szCs w:val="32"/>
        </w:rPr>
        <w:t>%；上缴上级支出</w:t>
      </w:r>
      <w:r>
        <w:rPr>
          <w:rFonts w:hint="eastAsia" w:asciiTheme="minorEastAsia" w:hAnsiTheme="minorEastAsia" w:eastAsiaTheme="minorEastAsia"/>
          <w:sz w:val="32"/>
          <w:szCs w:val="32"/>
          <w:lang w:val="en-US" w:eastAsia="zh-CN"/>
        </w:rPr>
        <w:t>0</w:t>
      </w:r>
      <w:r>
        <w:rPr>
          <w:rFonts w:hint="eastAsia" w:asciiTheme="minorEastAsia" w:hAnsiTheme="minorEastAsia" w:eastAsiaTheme="minorEastAsia"/>
          <w:sz w:val="32"/>
          <w:szCs w:val="32"/>
        </w:rPr>
        <w:t>万元，占</w:t>
      </w:r>
      <w:r>
        <w:rPr>
          <w:rFonts w:hint="eastAsia" w:asciiTheme="minorEastAsia" w:hAnsiTheme="minorEastAsia" w:eastAsiaTheme="minorEastAsia"/>
          <w:sz w:val="32"/>
          <w:szCs w:val="32"/>
          <w:lang w:val="en-US" w:eastAsia="zh-CN"/>
        </w:rPr>
        <w:t>0</w:t>
      </w:r>
      <w:r>
        <w:rPr>
          <w:rFonts w:hint="eastAsia" w:asciiTheme="minorEastAsia" w:hAnsiTheme="minorEastAsia" w:eastAsiaTheme="minorEastAsia"/>
          <w:sz w:val="32"/>
          <w:szCs w:val="32"/>
        </w:rPr>
        <w:t>%；经营支出</w:t>
      </w:r>
      <w:r>
        <w:rPr>
          <w:rFonts w:hint="eastAsia" w:asciiTheme="minorEastAsia" w:hAnsiTheme="minorEastAsia" w:eastAsiaTheme="minorEastAsia"/>
          <w:sz w:val="32"/>
          <w:szCs w:val="32"/>
          <w:lang w:val="en-US" w:eastAsia="zh-CN"/>
        </w:rPr>
        <w:t>0</w:t>
      </w:r>
      <w:r>
        <w:rPr>
          <w:rFonts w:hint="eastAsia" w:asciiTheme="minorEastAsia" w:hAnsiTheme="minorEastAsia" w:eastAsiaTheme="minorEastAsia"/>
          <w:sz w:val="32"/>
          <w:szCs w:val="32"/>
        </w:rPr>
        <w:t>万元，占</w:t>
      </w:r>
      <w:r>
        <w:rPr>
          <w:rFonts w:hint="eastAsia" w:asciiTheme="minorEastAsia" w:hAnsiTheme="minorEastAsia" w:eastAsiaTheme="minorEastAsia"/>
          <w:sz w:val="32"/>
          <w:szCs w:val="32"/>
          <w:lang w:val="en-US" w:eastAsia="zh-CN"/>
        </w:rPr>
        <w:t>0</w:t>
      </w:r>
      <w:r>
        <w:rPr>
          <w:rFonts w:hint="eastAsia" w:asciiTheme="minorEastAsia" w:hAnsiTheme="minorEastAsia" w:eastAsiaTheme="minorEastAsia"/>
          <w:sz w:val="32"/>
          <w:szCs w:val="32"/>
        </w:rPr>
        <w:t>%；对附属单位补助支出</w:t>
      </w:r>
      <w:r>
        <w:rPr>
          <w:rFonts w:hint="eastAsia" w:asciiTheme="minorEastAsia" w:hAnsiTheme="minorEastAsia" w:eastAsiaTheme="minorEastAsia"/>
          <w:sz w:val="32"/>
          <w:szCs w:val="32"/>
          <w:lang w:val="en-US" w:eastAsia="zh-CN"/>
        </w:rPr>
        <w:t>0</w:t>
      </w:r>
      <w:r>
        <w:rPr>
          <w:rFonts w:hint="eastAsia" w:asciiTheme="minorEastAsia" w:hAnsiTheme="minorEastAsia" w:eastAsiaTheme="minorEastAsia"/>
          <w:sz w:val="32"/>
          <w:szCs w:val="32"/>
        </w:rPr>
        <w:t>万元，占</w:t>
      </w:r>
      <w:r>
        <w:rPr>
          <w:rFonts w:hint="eastAsia" w:asciiTheme="minorEastAsia" w:hAnsiTheme="minorEastAsia" w:eastAsiaTheme="minorEastAsia"/>
          <w:sz w:val="32"/>
          <w:szCs w:val="32"/>
          <w:lang w:val="en-US" w:eastAsia="zh-CN"/>
        </w:rPr>
        <w:t>0</w:t>
      </w:r>
      <w:r>
        <w:rPr>
          <w:rFonts w:hint="eastAsia" w:asciiTheme="minorEastAsia" w:hAnsiTheme="minorEastAsia" w:eastAsiaTheme="minorEastAsia"/>
          <w:sz w:val="32"/>
          <w:szCs w:val="32"/>
        </w:rPr>
        <w:t>%。</w:t>
      </w:r>
    </w:p>
    <w:p>
      <w:pPr>
        <w:keepNext w:val="0"/>
        <w:keepLines w:val="0"/>
        <w:pageBreakBefore w:val="0"/>
        <w:widowControl/>
        <w:kinsoku/>
        <w:wordWrap/>
        <w:overflowPunct/>
        <w:topLinePunct w:val="0"/>
        <w:bidi w:val="0"/>
        <w:spacing w:line="600" w:lineRule="exact"/>
        <w:ind w:firstLine="640" w:firstLineChars="200"/>
        <w:jc w:val="left"/>
        <w:textAlignment w:val="auto"/>
        <w:rPr>
          <w:rFonts w:ascii="黑体" w:hAnsi="黑体" w:eastAsia="黑体"/>
          <w:kern w:val="0"/>
          <w:sz w:val="32"/>
          <w:szCs w:val="32"/>
        </w:rPr>
      </w:pPr>
      <w:r>
        <w:rPr>
          <w:rFonts w:hint="eastAsia" w:ascii="黑体" w:hAnsi="黑体" w:eastAsia="黑体"/>
          <w:kern w:val="0"/>
          <w:sz w:val="32"/>
          <w:szCs w:val="32"/>
        </w:rPr>
        <w:t>四、财政拨款收入支出决算总体情况说明</w:t>
      </w:r>
    </w:p>
    <w:p>
      <w:pPr>
        <w:keepNext w:val="0"/>
        <w:keepLines w:val="0"/>
        <w:pageBreakBefore w:val="0"/>
        <w:kinsoku/>
        <w:wordWrap/>
        <w:overflowPunct/>
        <w:topLinePunct w:val="0"/>
        <w:bidi w:val="0"/>
        <w:spacing w:line="600" w:lineRule="exact"/>
        <w:ind w:firstLine="640" w:firstLineChars="200"/>
        <w:textAlignment w:val="auto"/>
        <w:rPr>
          <w:rFonts w:hint="eastAsia" w:asciiTheme="majorEastAsia" w:hAnsiTheme="majorEastAsia" w:eastAsiaTheme="majorEastAsia"/>
          <w:sz w:val="32"/>
          <w:szCs w:val="28"/>
          <w:lang w:val="en-US" w:eastAsia="zh-CN"/>
        </w:rPr>
      </w:pPr>
      <w:r>
        <w:rPr>
          <w:rFonts w:hint="eastAsia" w:asciiTheme="minorEastAsia" w:hAnsiTheme="minorEastAsia" w:eastAsiaTheme="minorEastAsia"/>
          <w:sz w:val="32"/>
          <w:szCs w:val="32"/>
        </w:rPr>
        <w:t xml:space="preserve"> 201</w:t>
      </w:r>
      <w:r>
        <w:rPr>
          <w:rFonts w:hint="eastAsia" w:asciiTheme="minorEastAsia" w:hAnsiTheme="minorEastAsia" w:eastAsiaTheme="minorEastAsia"/>
          <w:sz w:val="32"/>
          <w:szCs w:val="32"/>
          <w:lang w:val="en-US" w:eastAsia="zh-CN"/>
        </w:rPr>
        <w:t>8</w:t>
      </w:r>
      <w:r>
        <w:rPr>
          <w:rFonts w:hint="eastAsia" w:asciiTheme="minorEastAsia" w:hAnsiTheme="minorEastAsia" w:eastAsiaTheme="minorEastAsia"/>
          <w:sz w:val="32"/>
          <w:szCs w:val="32"/>
        </w:rPr>
        <w:t>年度财政拨款收、支总计</w:t>
      </w:r>
      <w:r>
        <w:rPr>
          <w:rFonts w:hint="eastAsia" w:asciiTheme="minorEastAsia" w:hAnsiTheme="minorEastAsia" w:eastAsiaTheme="minorEastAsia"/>
          <w:sz w:val="32"/>
          <w:szCs w:val="32"/>
          <w:lang w:val="en-US" w:eastAsia="zh-CN"/>
        </w:rPr>
        <w:t>553.42</w:t>
      </w:r>
      <w:r>
        <w:rPr>
          <w:rFonts w:hint="eastAsia" w:asciiTheme="minorEastAsia" w:hAnsiTheme="minorEastAsia" w:eastAsiaTheme="minorEastAsia"/>
          <w:sz w:val="32"/>
          <w:szCs w:val="32"/>
        </w:rPr>
        <w:t>万元，与201</w:t>
      </w:r>
      <w:r>
        <w:rPr>
          <w:rFonts w:hint="eastAsia" w:asciiTheme="minorEastAsia" w:hAnsiTheme="minorEastAsia" w:eastAsiaTheme="minorEastAsia"/>
          <w:sz w:val="32"/>
          <w:szCs w:val="32"/>
          <w:lang w:val="en-US" w:eastAsia="zh-CN"/>
        </w:rPr>
        <w:t>7</w:t>
      </w:r>
      <w:r>
        <w:rPr>
          <w:rFonts w:hint="eastAsia" w:asciiTheme="minorEastAsia" w:hAnsiTheme="minorEastAsia" w:eastAsiaTheme="minorEastAsia"/>
          <w:sz w:val="32"/>
          <w:szCs w:val="32"/>
        </w:rPr>
        <w:t>年相比，增加</w:t>
      </w:r>
      <w:r>
        <w:rPr>
          <w:rFonts w:hint="eastAsia" w:asciiTheme="minorEastAsia" w:hAnsiTheme="minorEastAsia" w:eastAsiaTheme="minorEastAsia"/>
          <w:sz w:val="32"/>
          <w:szCs w:val="32"/>
          <w:lang w:val="en-US" w:eastAsia="zh-CN"/>
        </w:rPr>
        <w:t>170.06</w:t>
      </w:r>
      <w:r>
        <w:rPr>
          <w:rFonts w:hint="eastAsia" w:asciiTheme="minorEastAsia" w:hAnsiTheme="minorEastAsia" w:eastAsiaTheme="minorEastAsia"/>
          <w:sz w:val="32"/>
          <w:szCs w:val="32"/>
        </w:rPr>
        <w:t>万元,增长</w:t>
      </w:r>
      <w:r>
        <w:rPr>
          <w:rFonts w:hint="eastAsia" w:asciiTheme="majorEastAsia" w:hAnsiTheme="majorEastAsia" w:eastAsiaTheme="majorEastAsia"/>
          <w:sz w:val="32"/>
          <w:szCs w:val="28"/>
          <w:lang w:val="en-US" w:eastAsia="zh-CN"/>
        </w:rPr>
        <w:t>159.48</w:t>
      </w:r>
      <w:r>
        <w:rPr>
          <w:rFonts w:hint="eastAsia" w:asciiTheme="majorEastAsia" w:hAnsiTheme="majorEastAsia" w:eastAsiaTheme="majorEastAsia"/>
          <w:sz w:val="32"/>
          <w:szCs w:val="28"/>
        </w:rPr>
        <w:t>%，主要是因为单位深化改革，增加了人员编制以及承办的活动增多导致的</w:t>
      </w:r>
      <w:r>
        <w:rPr>
          <w:rFonts w:hint="eastAsia" w:asciiTheme="majorEastAsia" w:hAnsiTheme="majorEastAsia" w:eastAsiaTheme="majorEastAsia"/>
          <w:sz w:val="32"/>
          <w:szCs w:val="28"/>
          <w:lang w:eastAsia="zh-CN"/>
        </w:rPr>
        <w:t>。</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jc w:val="left"/>
        <w:textAlignment w:val="auto"/>
        <w:rPr>
          <w:rFonts w:ascii="黑体" w:hAnsi="黑体" w:eastAsia="黑体"/>
          <w:kern w:val="0"/>
          <w:sz w:val="32"/>
          <w:szCs w:val="32"/>
        </w:rPr>
      </w:pPr>
      <w:r>
        <w:rPr>
          <w:rFonts w:hint="eastAsia" w:ascii="黑体" w:hAnsi="黑体" w:eastAsia="黑体"/>
          <w:kern w:val="0"/>
          <w:sz w:val="32"/>
          <w:szCs w:val="32"/>
        </w:rPr>
        <w:t>五、一般公共预算财政拨款支出决算情况说明</w:t>
      </w:r>
    </w:p>
    <w:p>
      <w:pPr>
        <w:keepNext w:val="0"/>
        <w:keepLines w:val="0"/>
        <w:pageBreakBefore w:val="0"/>
        <w:widowControl w:val="0"/>
        <w:kinsoku/>
        <w:wordWrap/>
        <w:overflowPunct/>
        <w:topLinePunct w:val="0"/>
        <w:autoSpaceDE/>
        <w:autoSpaceDN/>
        <w:bidi w:val="0"/>
        <w:adjustRightInd/>
        <w:snapToGrid w:val="0"/>
        <w:spacing w:line="600" w:lineRule="exact"/>
        <w:ind w:firstLine="643" w:firstLineChars="200"/>
        <w:jc w:val="left"/>
        <w:textAlignment w:val="auto"/>
        <w:rPr>
          <w:rFonts w:hint="eastAsia" w:asciiTheme="majorEastAsia" w:hAnsiTheme="majorEastAsia" w:eastAsiaTheme="majorEastAsia"/>
          <w:b/>
          <w:kern w:val="0"/>
          <w:sz w:val="32"/>
          <w:szCs w:val="32"/>
        </w:rPr>
      </w:pPr>
      <w:r>
        <w:rPr>
          <w:rFonts w:hint="eastAsia" w:asciiTheme="majorEastAsia" w:hAnsiTheme="majorEastAsia" w:eastAsiaTheme="majorEastAsia"/>
          <w:b/>
          <w:kern w:val="0"/>
          <w:sz w:val="32"/>
          <w:szCs w:val="32"/>
        </w:rPr>
        <w:t>（一）财政拨款支出决算总体情况。</w:t>
      </w:r>
    </w:p>
    <w:p>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jc w:val="left"/>
        <w:textAlignment w:val="auto"/>
        <w:rPr>
          <w:rFonts w:hint="eastAsia" w:asciiTheme="majorEastAsia" w:hAnsiTheme="majorEastAsia" w:eastAsiaTheme="majorEastAsia"/>
          <w:b/>
          <w:kern w:val="0"/>
          <w:sz w:val="32"/>
          <w:szCs w:val="32"/>
          <w:lang w:eastAsia="zh-CN"/>
        </w:rPr>
      </w:pPr>
      <w:r>
        <w:rPr>
          <w:rFonts w:hint="eastAsia" w:asciiTheme="majorEastAsia" w:hAnsiTheme="majorEastAsia" w:eastAsiaTheme="majorEastAsia"/>
          <w:sz w:val="32"/>
          <w:szCs w:val="32"/>
        </w:rPr>
        <w:t>201</w:t>
      </w:r>
      <w:r>
        <w:rPr>
          <w:rFonts w:hint="eastAsia" w:asciiTheme="majorEastAsia" w:hAnsiTheme="majorEastAsia" w:eastAsiaTheme="majorEastAsia"/>
          <w:sz w:val="32"/>
          <w:szCs w:val="32"/>
          <w:lang w:val="en-US" w:eastAsia="zh-CN"/>
        </w:rPr>
        <w:t>8</w:t>
      </w:r>
      <w:r>
        <w:rPr>
          <w:rFonts w:hint="eastAsia" w:asciiTheme="majorEastAsia" w:hAnsiTheme="majorEastAsia" w:eastAsiaTheme="majorEastAsia"/>
          <w:sz w:val="32"/>
          <w:szCs w:val="32"/>
        </w:rPr>
        <w:t>年</w:t>
      </w:r>
      <w:r>
        <w:rPr>
          <w:rFonts w:hint="eastAsia" w:asciiTheme="majorEastAsia" w:hAnsiTheme="majorEastAsia" w:eastAsiaTheme="majorEastAsia"/>
          <w:sz w:val="32"/>
          <w:szCs w:val="32"/>
          <w:lang w:eastAsia="zh-CN"/>
        </w:rPr>
        <w:t>度</w:t>
      </w:r>
      <w:r>
        <w:rPr>
          <w:rFonts w:hint="eastAsia" w:asciiTheme="majorEastAsia" w:hAnsiTheme="majorEastAsia" w:eastAsiaTheme="majorEastAsia"/>
          <w:sz w:val="32"/>
          <w:szCs w:val="32"/>
        </w:rPr>
        <w:t>财政</w:t>
      </w:r>
      <w:r>
        <w:rPr>
          <w:rFonts w:hint="eastAsia" w:asciiTheme="majorEastAsia" w:hAnsiTheme="majorEastAsia" w:eastAsiaTheme="majorEastAsia"/>
          <w:sz w:val="32"/>
          <w:szCs w:val="32"/>
          <w:lang w:eastAsia="zh-CN"/>
        </w:rPr>
        <w:t>拨</w:t>
      </w:r>
      <w:r>
        <w:rPr>
          <w:rFonts w:hint="eastAsia" w:asciiTheme="majorEastAsia" w:hAnsiTheme="majorEastAsia" w:eastAsiaTheme="majorEastAsia"/>
          <w:sz w:val="32"/>
          <w:szCs w:val="32"/>
        </w:rPr>
        <w:t>款支出合计</w:t>
      </w:r>
      <w:r>
        <w:rPr>
          <w:rFonts w:hint="eastAsia" w:asciiTheme="minorEastAsia" w:hAnsiTheme="minorEastAsia" w:eastAsiaTheme="minorEastAsia"/>
          <w:sz w:val="32"/>
          <w:szCs w:val="32"/>
          <w:lang w:val="en-US" w:eastAsia="zh-CN"/>
        </w:rPr>
        <w:t>276.71</w:t>
      </w:r>
      <w:r>
        <w:rPr>
          <w:rFonts w:hint="eastAsia" w:asciiTheme="majorEastAsia" w:hAnsiTheme="majorEastAsia" w:eastAsiaTheme="majorEastAsia"/>
          <w:sz w:val="32"/>
          <w:szCs w:val="32"/>
        </w:rPr>
        <w:t>万元，占本年支出合计的100%，与201</w:t>
      </w:r>
      <w:r>
        <w:rPr>
          <w:rFonts w:hint="eastAsia" w:asciiTheme="majorEastAsia" w:hAnsiTheme="majorEastAsia" w:eastAsiaTheme="majorEastAsia"/>
          <w:sz w:val="32"/>
          <w:szCs w:val="32"/>
          <w:lang w:val="en-US" w:eastAsia="zh-CN"/>
        </w:rPr>
        <w:t>7</w:t>
      </w:r>
      <w:r>
        <w:rPr>
          <w:rFonts w:hint="eastAsia" w:asciiTheme="majorEastAsia" w:hAnsiTheme="majorEastAsia" w:eastAsiaTheme="majorEastAsia"/>
          <w:sz w:val="32"/>
          <w:szCs w:val="32"/>
        </w:rPr>
        <w:t>年相比，财政拨款支出增加</w:t>
      </w:r>
      <w:r>
        <w:rPr>
          <w:rFonts w:hint="eastAsia" w:asciiTheme="majorEastAsia" w:hAnsiTheme="majorEastAsia" w:eastAsiaTheme="majorEastAsia"/>
          <w:sz w:val="32"/>
          <w:szCs w:val="32"/>
          <w:lang w:val="en-US" w:eastAsia="zh-CN"/>
        </w:rPr>
        <w:t>170.06</w:t>
      </w:r>
      <w:r>
        <w:rPr>
          <w:rFonts w:hint="eastAsia" w:asciiTheme="majorEastAsia" w:hAnsiTheme="majorEastAsia" w:eastAsiaTheme="majorEastAsia"/>
          <w:sz w:val="32"/>
          <w:szCs w:val="32"/>
        </w:rPr>
        <w:t>万元，增</w:t>
      </w:r>
      <w:r>
        <w:rPr>
          <w:rFonts w:hint="eastAsia" w:asciiTheme="majorEastAsia" w:hAnsiTheme="majorEastAsia" w:eastAsiaTheme="majorEastAsia"/>
          <w:sz w:val="32"/>
          <w:szCs w:val="32"/>
          <w:lang w:eastAsia="zh-CN"/>
        </w:rPr>
        <w:t>长</w:t>
      </w:r>
      <w:r>
        <w:rPr>
          <w:rFonts w:hint="eastAsia" w:asciiTheme="majorEastAsia" w:hAnsiTheme="majorEastAsia" w:eastAsiaTheme="majorEastAsia"/>
          <w:sz w:val="32"/>
          <w:szCs w:val="32"/>
          <w:lang w:val="en-US" w:eastAsia="zh-CN"/>
        </w:rPr>
        <w:t>159.48</w:t>
      </w:r>
      <w:r>
        <w:rPr>
          <w:rFonts w:hint="eastAsia" w:asciiTheme="majorEastAsia" w:hAnsiTheme="majorEastAsia" w:eastAsiaTheme="majorEastAsia"/>
          <w:sz w:val="32"/>
          <w:szCs w:val="32"/>
        </w:rPr>
        <w:t>%，主要是因为</w:t>
      </w:r>
      <w:r>
        <w:rPr>
          <w:rFonts w:hint="eastAsia" w:asciiTheme="majorEastAsia" w:hAnsiTheme="majorEastAsia" w:eastAsiaTheme="majorEastAsia"/>
          <w:sz w:val="32"/>
          <w:szCs w:val="28"/>
          <w:lang w:eastAsia="zh-CN"/>
        </w:rPr>
        <w:t>新增专项活动。</w:t>
      </w:r>
    </w:p>
    <w:p>
      <w:pPr>
        <w:keepNext w:val="0"/>
        <w:keepLines w:val="0"/>
        <w:pageBreakBefore w:val="0"/>
        <w:widowControl/>
        <w:kinsoku/>
        <w:wordWrap/>
        <w:overflowPunct/>
        <w:topLinePunct w:val="0"/>
        <w:bidi w:val="0"/>
        <w:spacing w:line="600" w:lineRule="exact"/>
        <w:ind w:firstLine="643" w:firstLineChars="200"/>
        <w:jc w:val="left"/>
        <w:textAlignment w:val="auto"/>
        <w:rPr>
          <w:rFonts w:asciiTheme="majorEastAsia" w:hAnsiTheme="majorEastAsia" w:eastAsiaTheme="majorEastAsia"/>
          <w:b/>
          <w:kern w:val="0"/>
          <w:sz w:val="32"/>
          <w:szCs w:val="32"/>
        </w:rPr>
      </w:pPr>
      <w:r>
        <w:rPr>
          <w:rFonts w:hint="eastAsia" w:asciiTheme="majorEastAsia" w:hAnsiTheme="majorEastAsia" w:eastAsiaTheme="majorEastAsia"/>
          <w:b/>
          <w:kern w:val="0"/>
          <w:sz w:val="32"/>
          <w:szCs w:val="32"/>
        </w:rPr>
        <w:t>（二）财政拨款支出决算结构情况。</w:t>
      </w:r>
    </w:p>
    <w:p>
      <w:pPr>
        <w:pStyle w:val="12"/>
        <w:keepNext w:val="0"/>
        <w:keepLines w:val="0"/>
        <w:pageBreakBefore w:val="0"/>
        <w:kinsoku/>
        <w:wordWrap/>
        <w:overflowPunct/>
        <w:topLinePunct w:val="0"/>
        <w:bidi w:val="0"/>
        <w:spacing w:line="600" w:lineRule="exact"/>
        <w:ind w:firstLine="640" w:firstLineChars="200"/>
        <w:textAlignment w:val="auto"/>
        <w:rPr>
          <w:rFonts w:hint="default" w:cs="Times New Roman" w:asciiTheme="majorEastAsia" w:hAnsiTheme="majorEastAsia" w:eastAsiaTheme="majorEastAsia"/>
          <w:color w:val="auto"/>
          <w:kern w:val="2"/>
          <w:sz w:val="32"/>
          <w:szCs w:val="32"/>
          <w:lang w:val="en-US" w:eastAsia="zh-CN" w:bidi="ar-SA"/>
        </w:rPr>
      </w:pPr>
      <w:r>
        <w:rPr>
          <w:rFonts w:hint="eastAsia" w:cs="Times New Roman" w:asciiTheme="majorEastAsia" w:hAnsiTheme="majorEastAsia" w:eastAsiaTheme="majorEastAsia"/>
          <w:color w:val="auto"/>
          <w:kern w:val="2"/>
          <w:sz w:val="32"/>
          <w:szCs w:val="32"/>
          <w:lang w:val="en-US" w:eastAsia="zh-CN" w:bidi="ar-SA"/>
        </w:rPr>
        <w:t>2018年度财政拨款支出276.71万元,主要用于以下方面：文化体育与传媒支出273.5万元，占98.83%；社会保障和就业支出2.11万元，占0.76%；医疗卫生与计划生育支出1.09万元，占0.41%。</w:t>
      </w:r>
    </w:p>
    <w:p>
      <w:pPr>
        <w:keepNext w:val="0"/>
        <w:keepLines w:val="0"/>
        <w:pageBreakBefore w:val="0"/>
        <w:widowControl/>
        <w:kinsoku/>
        <w:wordWrap/>
        <w:overflowPunct/>
        <w:topLinePunct w:val="0"/>
        <w:bidi w:val="0"/>
        <w:spacing w:line="600" w:lineRule="exact"/>
        <w:ind w:firstLine="643" w:firstLineChars="200"/>
        <w:textAlignment w:val="auto"/>
        <w:rPr>
          <w:rFonts w:asciiTheme="minorEastAsia" w:hAnsiTheme="minorEastAsia" w:eastAsiaTheme="minorEastAsia"/>
          <w:b/>
          <w:kern w:val="0"/>
          <w:sz w:val="32"/>
          <w:szCs w:val="32"/>
        </w:rPr>
      </w:pPr>
      <w:r>
        <w:rPr>
          <w:rFonts w:hint="eastAsia" w:asciiTheme="minorEastAsia" w:hAnsiTheme="minorEastAsia" w:eastAsiaTheme="minorEastAsia"/>
          <w:b/>
          <w:bCs/>
          <w:kern w:val="0"/>
          <w:sz w:val="32"/>
          <w:szCs w:val="32"/>
        </w:rPr>
        <w:t>（三）财政拨款支出决算具体情况。</w:t>
      </w:r>
    </w:p>
    <w:p>
      <w:pPr>
        <w:pStyle w:val="12"/>
        <w:keepNext w:val="0"/>
        <w:keepLines w:val="0"/>
        <w:pageBreakBefore w:val="0"/>
        <w:kinsoku/>
        <w:wordWrap/>
        <w:overflowPunct/>
        <w:topLinePunct w:val="0"/>
        <w:bidi w:val="0"/>
        <w:spacing w:line="600" w:lineRule="exact"/>
        <w:ind w:firstLine="800" w:firstLineChars="250"/>
        <w:textAlignment w:val="auto"/>
        <w:rPr>
          <w:rFonts w:asciiTheme="minorEastAsia" w:hAnsiTheme="minorEastAsia" w:eastAsiaTheme="minorEastAsia"/>
          <w:sz w:val="32"/>
          <w:szCs w:val="32"/>
        </w:rPr>
      </w:pPr>
      <w:r>
        <w:rPr>
          <w:rFonts w:hint="eastAsia" w:asciiTheme="minorEastAsia" w:hAnsiTheme="minorEastAsia" w:eastAsiaTheme="minorEastAsia"/>
          <w:sz w:val="32"/>
          <w:szCs w:val="32"/>
        </w:rPr>
        <w:t>201</w:t>
      </w:r>
      <w:r>
        <w:rPr>
          <w:rFonts w:hint="eastAsia" w:asciiTheme="minorEastAsia" w:hAnsiTheme="minorEastAsia" w:eastAsiaTheme="minorEastAsia"/>
          <w:sz w:val="32"/>
          <w:szCs w:val="32"/>
          <w:lang w:val="en-US" w:eastAsia="zh-CN"/>
        </w:rPr>
        <w:t>8</w:t>
      </w:r>
      <w:r>
        <w:rPr>
          <w:rFonts w:hint="eastAsia" w:asciiTheme="minorEastAsia" w:hAnsiTheme="minorEastAsia" w:eastAsiaTheme="minorEastAsia"/>
          <w:sz w:val="32"/>
          <w:szCs w:val="32"/>
        </w:rPr>
        <w:t>年度财政拨款支出年初预算数为</w:t>
      </w:r>
      <w:r>
        <w:rPr>
          <w:rFonts w:hint="eastAsia" w:asciiTheme="minorEastAsia" w:hAnsiTheme="minorEastAsia" w:eastAsiaTheme="minorEastAsia"/>
          <w:sz w:val="32"/>
          <w:szCs w:val="32"/>
          <w:lang w:val="en-US" w:eastAsia="zh-CN"/>
        </w:rPr>
        <w:t>141.29</w:t>
      </w:r>
      <w:r>
        <w:rPr>
          <w:rFonts w:hint="eastAsia" w:asciiTheme="minorEastAsia" w:hAnsiTheme="minorEastAsia" w:eastAsiaTheme="minorEastAsia"/>
          <w:sz w:val="32"/>
          <w:szCs w:val="32"/>
        </w:rPr>
        <w:t>万元，支出决算数为</w:t>
      </w:r>
      <w:r>
        <w:rPr>
          <w:rFonts w:hint="eastAsia" w:asciiTheme="minorEastAsia" w:hAnsiTheme="minorEastAsia" w:eastAsiaTheme="minorEastAsia"/>
          <w:sz w:val="32"/>
          <w:szCs w:val="32"/>
          <w:lang w:val="en-US" w:eastAsia="zh-CN"/>
        </w:rPr>
        <w:t>276.71</w:t>
      </w:r>
      <w:r>
        <w:rPr>
          <w:rFonts w:hint="eastAsia" w:asciiTheme="minorEastAsia" w:hAnsiTheme="minorEastAsia" w:eastAsiaTheme="minorEastAsia"/>
          <w:sz w:val="32"/>
          <w:szCs w:val="32"/>
        </w:rPr>
        <w:t>万元，完成年初预算的</w:t>
      </w:r>
      <w:r>
        <w:rPr>
          <w:rFonts w:hint="eastAsia" w:asciiTheme="minorEastAsia" w:hAnsiTheme="minorEastAsia" w:eastAsiaTheme="minorEastAsia"/>
          <w:sz w:val="32"/>
          <w:szCs w:val="32"/>
          <w:lang w:val="en-US" w:eastAsia="zh-CN"/>
        </w:rPr>
        <w:t>195.84</w:t>
      </w:r>
      <w:r>
        <w:rPr>
          <w:rFonts w:hint="eastAsia" w:asciiTheme="minorEastAsia" w:hAnsiTheme="minorEastAsia" w:eastAsiaTheme="minorEastAsia"/>
          <w:sz w:val="32"/>
          <w:szCs w:val="32"/>
        </w:rPr>
        <w:t>%，其中：</w:t>
      </w:r>
    </w:p>
    <w:p>
      <w:pPr>
        <w:pStyle w:val="12"/>
        <w:keepNext w:val="0"/>
        <w:keepLines w:val="0"/>
        <w:pageBreakBefore w:val="0"/>
        <w:kinsoku/>
        <w:wordWrap/>
        <w:overflowPunct/>
        <w:topLinePunct w:val="0"/>
        <w:bidi w:val="0"/>
        <w:spacing w:line="600" w:lineRule="exact"/>
        <w:ind w:firstLine="640" w:firstLineChars="200"/>
        <w:textAlignment w:val="auto"/>
        <w:rPr>
          <w:rFonts w:asciiTheme="minorEastAsia" w:hAnsiTheme="minorEastAsia" w:eastAsiaTheme="minorEastAsia"/>
          <w:sz w:val="32"/>
          <w:szCs w:val="32"/>
        </w:rPr>
      </w:pPr>
      <w:r>
        <w:rPr>
          <w:rFonts w:hint="eastAsia" w:asciiTheme="minorEastAsia" w:hAnsiTheme="minorEastAsia" w:eastAsiaTheme="minorEastAsia"/>
          <w:sz w:val="32"/>
          <w:szCs w:val="32"/>
        </w:rPr>
        <w:t>1、</w:t>
      </w:r>
      <w:r>
        <w:rPr>
          <w:rFonts w:hint="eastAsia" w:asciiTheme="minorEastAsia" w:hAnsiTheme="minorEastAsia" w:eastAsiaTheme="minorEastAsia"/>
          <w:sz w:val="32"/>
          <w:szCs w:val="32"/>
          <w:lang w:eastAsia="zh-CN"/>
        </w:rPr>
        <w:t>文化体育与传媒支出（类）文化（款）文化创作与保护（项）</w:t>
      </w:r>
      <w:r>
        <w:rPr>
          <w:rFonts w:hint="eastAsia" w:asciiTheme="minorEastAsia" w:hAnsiTheme="minorEastAsia" w:eastAsiaTheme="minorEastAsia"/>
          <w:sz w:val="32"/>
          <w:szCs w:val="32"/>
        </w:rPr>
        <w:t>。</w:t>
      </w:r>
    </w:p>
    <w:p>
      <w:pPr>
        <w:pStyle w:val="12"/>
        <w:keepNext w:val="0"/>
        <w:keepLines w:val="0"/>
        <w:pageBreakBefore w:val="0"/>
        <w:kinsoku/>
        <w:wordWrap/>
        <w:overflowPunct/>
        <w:topLinePunct w:val="0"/>
        <w:bidi w:val="0"/>
        <w:spacing w:line="600" w:lineRule="exact"/>
        <w:ind w:firstLine="640" w:firstLineChars="200"/>
        <w:textAlignment w:val="auto"/>
        <w:rPr>
          <w:rFonts w:hint="eastAsia" w:asciiTheme="minorEastAsia" w:hAnsiTheme="minorEastAsia" w:eastAsiaTheme="minorEastAsia"/>
          <w:sz w:val="32"/>
          <w:szCs w:val="32"/>
          <w:lang w:eastAsia="zh-CN"/>
        </w:rPr>
      </w:pPr>
      <w:r>
        <w:rPr>
          <w:rFonts w:hint="eastAsia" w:asciiTheme="minorEastAsia" w:hAnsiTheme="minorEastAsia" w:eastAsiaTheme="minorEastAsia"/>
          <w:sz w:val="32"/>
          <w:szCs w:val="32"/>
        </w:rPr>
        <w:t>年初预算为</w:t>
      </w:r>
      <w:r>
        <w:rPr>
          <w:rFonts w:hint="eastAsia" w:asciiTheme="minorEastAsia" w:hAnsiTheme="minorEastAsia" w:eastAsiaTheme="minorEastAsia"/>
          <w:sz w:val="32"/>
          <w:szCs w:val="32"/>
          <w:lang w:val="en-US" w:eastAsia="zh-CN"/>
        </w:rPr>
        <w:t>141.29</w:t>
      </w:r>
      <w:r>
        <w:rPr>
          <w:rFonts w:hint="eastAsia" w:asciiTheme="minorEastAsia" w:hAnsiTheme="minorEastAsia" w:eastAsiaTheme="minorEastAsia"/>
          <w:sz w:val="32"/>
          <w:szCs w:val="32"/>
        </w:rPr>
        <w:t>万元，支出决算为</w:t>
      </w:r>
      <w:r>
        <w:rPr>
          <w:rFonts w:hint="eastAsia" w:asciiTheme="minorEastAsia" w:hAnsiTheme="minorEastAsia" w:eastAsiaTheme="minorEastAsia"/>
          <w:sz w:val="32"/>
          <w:szCs w:val="32"/>
          <w:lang w:val="en-US" w:eastAsia="zh-CN"/>
        </w:rPr>
        <w:t>155.2</w:t>
      </w:r>
      <w:r>
        <w:rPr>
          <w:rFonts w:hint="eastAsia" w:asciiTheme="minorEastAsia" w:hAnsiTheme="minorEastAsia" w:eastAsiaTheme="minorEastAsia"/>
          <w:sz w:val="32"/>
          <w:szCs w:val="32"/>
        </w:rPr>
        <w:t>万元，完成年初预算的</w:t>
      </w:r>
      <w:r>
        <w:rPr>
          <w:rFonts w:hint="eastAsia" w:asciiTheme="minorEastAsia" w:hAnsiTheme="minorEastAsia" w:eastAsiaTheme="minorEastAsia"/>
          <w:sz w:val="32"/>
          <w:szCs w:val="32"/>
          <w:lang w:val="en-US" w:eastAsia="zh-CN"/>
        </w:rPr>
        <w:t>109.8</w:t>
      </w:r>
      <w:r>
        <w:rPr>
          <w:rFonts w:hint="eastAsia" w:asciiTheme="minorEastAsia" w:hAnsiTheme="minorEastAsia" w:eastAsiaTheme="minorEastAsia"/>
          <w:sz w:val="32"/>
          <w:szCs w:val="32"/>
        </w:rPr>
        <w:t>%，决算数大于年初预算数的主要原因是：</w:t>
      </w:r>
      <w:r>
        <w:rPr>
          <w:rFonts w:hint="eastAsia" w:asciiTheme="minorEastAsia" w:hAnsiTheme="minorEastAsia" w:eastAsiaTheme="minorEastAsia"/>
          <w:sz w:val="32"/>
          <w:szCs w:val="32"/>
          <w:lang w:eastAsia="zh-CN"/>
        </w:rPr>
        <w:t>年中增加基本支出用于支付单位人员社会保险款。</w:t>
      </w:r>
    </w:p>
    <w:p>
      <w:pPr>
        <w:pStyle w:val="12"/>
        <w:keepNext w:val="0"/>
        <w:keepLines w:val="0"/>
        <w:pageBreakBefore w:val="0"/>
        <w:kinsoku/>
        <w:wordWrap/>
        <w:overflowPunct/>
        <w:topLinePunct w:val="0"/>
        <w:bidi w:val="0"/>
        <w:spacing w:line="600" w:lineRule="exact"/>
        <w:ind w:firstLine="640" w:firstLineChars="200"/>
        <w:textAlignment w:val="auto"/>
        <w:rPr>
          <w:rFonts w:asciiTheme="minorEastAsia" w:hAnsiTheme="minorEastAsia" w:eastAsiaTheme="minorEastAsia"/>
          <w:sz w:val="32"/>
          <w:szCs w:val="32"/>
        </w:rPr>
      </w:pPr>
      <w:r>
        <w:rPr>
          <w:rFonts w:hint="eastAsia" w:asciiTheme="minorEastAsia" w:hAnsiTheme="minorEastAsia" w:eastAsiaTheme="minorEastAsia"/>
          <w:sz w:val="32"/>
          <w:szCs w:val="32"/>
        </w:rPr>
        <w:t>2、</w:t>
      </w:r>
      <w:r>
        <w:rPr>
          <w:rFonts w:hint="eastAsia" w:asciiTheme="minorEastAsia" w:hAnsiTheme="minorEastAsia" w:eastAsiaTheme="minorEastAsia"/>
          <w:sz w:val="32"/>
          <w:szCs w:val="32"/>
          <w:lang w:eastAsia="zh-CN"/>
        </w:rPr>
        <w:t>文化体育与传媒支出（类）文化（款）其他文化体育与传媒支出（项）</w:t>
      </w:r>
      <w:r>
        <w:rPr>
          <w:rFonts w:hint="eastAsia" w:asciiTheme="minorEastAsia" w:hAnsiTheme="minorEastAsia" w:eastAsiaTheme="minorEastAsia"/>
          <w:sz w:val="32"/>
          <w:szCs w:val="32"/>
        </w:rPr>
        <w:t>。</w:t>
      </w:r>
    </w:p>
    <w:p>
      <w:pPr>
        <w:pStyle w:val="12"/>
        <w:keepNext w:val="0"/>
        <w:keepLines w:val="0"/>
        <w:pageBreakBefore w:val="0"/>
        <w:kinsoku/>
        <w:wordWrap/>
        <w:overflowPunct/>
        <w:topLinePunct w:val="0"/>
        <w:bidi w:val="0"/>
        <w:spacing w:line="600" w:lineRule="exact"/>
        <w:ind w:firstLine="640" w:firstLineChars="200"/>
        <w:textAlignment w:val="auto"/>
        <w:rPr>
          <w:rFonts w:hint="eastAsia" w:asciiTheme="minorEastAsia" w:hAnsiTheme="minorEastAsia" w:eastAsiaTheme="minorEastAsia"/>
          <w:sz w:val="32"/>
          <w:szCs w:val="32"/>
          <w:lang w:eastAsia="zh-CN"/>
        </w:rPr>
      </w:pPr>
      <w:r>
        <w:rPr>
          <w:rFonts w:hint="eastAsia" w:asciiTheme="minorEastAsia" w:hAnsiTheme="minorEastAsia" w:eastAsiaTheme="minorEastAsia"/>
          <w:sz w:val="32"/>
          <w:szCs w:val="32"/>
        </w:rPr>
        <w:t>年初预算为</w:t>
      </w:r>
      <w:r>
        <w:rPr>
          <w:rFonts w:hint="eastAsia" w:asciiTheme="minorEastAsia" w:hAnsiTheme="minorEastAsia" w:eastAsiaTheme="minorEastAsia"/>
          <w:sz w:val="32"/>
          <w:szCs w:val="32"/>
          <w:lang w:val="en-US" w:eastAsia="zh-CN"/>
        </w:rPr>
        <w:t>0</w:t>
      </w:r>
      <w:r>
        <w:rPr>
          <w:rFonts w:hint="eastAsia" w:asciiTheme="minorEastAsia" w:hAnsiTheme="minorEastAsia" w:eastAsiaTheme="minorEastAsia"/>
          <w:sz w:val="32"/>
          <w:szCs w:val="32"/>
        </w:rPr>
        <w:t>万元，支出决算为</w:t>
      </w:r>
      <w:r>
        <w:rPr>
          <w:rFonts w:hint="eastAsia" w:asciiTheme="minorEastAsia" w:hAnsiTheme="minorEastAsia" w:eastAsiaTheme="minorEastAsia"/>
          <w:sz w:val="32"/>
          <w:szCs w:val="32"/>
          <w:lang w:val="en-US" w:eastAsia="zh-CN"/>
        </w:rPr>
        <w:t>118.3</w:t>
      </w:r>
      <w:r>
        <w:rPr>
          <w:rFonts w:hint="eastAsia" w:asciiTheme="minorEastAsia" w:hAnsiTheme="minorEastAsia" w:eastAsiaTheme="minorEastAsia"/>
          <w:sz w:val="32"/>
          <w:szCs w:val="32"/>
        </w:rPr>
        <w:t>万元，决算数大于年初预算数的主要原因是：</w:t>
      </w:r>
      <w:r>
        <w:rPr>
          <w:rFonts w:hint="eastAsia" w:asciiTheme="minorEastAsia" w:hAnsiTheme="minorEastAsia" w:eastAsiaTheme="minorEastAsia"/>
          <w:sz w:val="32"/>
          <w:szCs w:val="32"/>
          <w:lang w:eastAsia="zh-CN"/>
        </w:rPr>
        <w:t>年中增加新的专项活动资金。</w:t>
      </w:r>
    </w:p>
    <w:p>
      <w:pPr>
        <w:pStyle w:val="12"/>
        <w:keepNext w:val="0"/>
        <w:keepLines w:val="0"/>
        <w:pageBreakBefore w:val="0"/>
        <w:numPr>
          <w:ilvl w:val="0"/>
          <w:numId w:val="0"/>
        </w:numPr>
        <w:kinsoku/>
        <w:wordWrap/>
        <w:overflowPunct/>
        <w:topLinePunct w:val="0"/>
        <w:bidi w:val="0"/>
        <w:spacing w:line="600" w:lineRule="exact"/>
        <w:ind w:firstLine="640" w:firstLineChars="200"/>
        <w:textAlignment w:val="auto"/>
        <w:rPr>
          <w:rFonts w:hint="eastAsia" w:asciiTheme="minorEastAsia" w:hAnsiTheme="minorEastAsia" w:eastAsiaTheme="minorEastAsia"/>
          <w:sz w:val="32"/>
          <w:szCs w:val="32"/>
        </w:rPr>
      </w:pPr>
      <w:r>
        <w:rPr>
          <w:rFonts w:hint="eastAsia" w:asciiTheme="minorEastAsia" w:hAnsiTheme="minorEastAsia" w:eastAsiaTheme="minorEastAsia"/>
          <w:sz w:val="32"/>
          <w:szCs w:val="32"/>
          <w:lang w:val="en-US" w:eastAsia="zh-CN"/>
        </w:rPr>
        <w:t>3、</w:t>
      </w:r>
      <w:r>
        <w:rPr>
          <w:rFonts w:hint="eastAsia" w:asciiTheme="minorEastAsia" w:hAnsiTheme="minorEastAsia" w:eastAsiaTheme="minorEastAsia"/>
          <w:sz w:val="32"/>
          <w:szCs w:val="32"/>
          <w:lang w:eastAsia="zh-CN"/>
        </w:rPr>
        <w:t>社会保障和就业支出（类）行政事业单位离退休（款）其他行政事业单位离退休支出（项）</w:t>
      </w:r>
      <w:r>
        <w:rPr>
          <w:rFonts w:hint="eastAsia" w:asciiTheme="minorEastAsia" w:hAnsiTheme="minorEastAsia" w:eastAsiaTheme="minorEastAsia"/>
          <w:sz w:val="32"/>
          <w:szCs w:val="32"/>
        </w:rPr>
        <w:t>。</w:t>
      </w:r>
    </w:p>
    <w:p>
      <w:pPr>
        <w:pStyle w:val="12"/>
        <w:keepNext w:val="0"/>
        <w:keepLines w:val="0"/>
        <w:pageBreakBefore w:val="0"/>
        <w:kinsoku/>
        <w:wordWrap/>
        <w:overflowPunct/>
        <w:topLinePunct w:val="0"/>
        <w:bidi w:val="0"/>
        <w:spacing w:line="600" w:lineRule="exact"/>
        <w:ind w:firstLine="640" w:firstLineChars="200"/>
        <w:textAlignment w:val="auto"/>
        <w:rPr>
          <w:rFonts w:hint="eastAsia" w:asciiTheme="minorEastAsia" w:hAnsiTheme="minorEastAsia" w:eastAsiaTheme="minorEastAsia"/>
          <w:sz w:val="32"/>
          <w:szCs w:val="32"/>
          <w:lang w:eastAsia="zh-CN"/>
        </w:rPr>
      </w:pPr>
      <w:r>
        <w:rPr>
          <w:rFonts w:hint="eastAsia" w:asciiTheme="minorEastAsia" w:hAnsiTheme="minorEastAsia" w:eastAsiaTheme="minorEastAsia"/>
          <w:sz w:val="32"/>
          <w:szCs w:val="32"/>
        </w:rPr>
        <w:t>年初预算为</w:t>
      </w:r>
      <w:r>
        <w:rPr>
          <w:rFonts w:hint="eastAsia" w:asciiTheme="minorEastAsia" w:hAnsiTheme="minorEastAsia" w:eastAsiaTheme="minorEastAsia"/>
          <w:sz w:val="32"/>
          <w:szCs w:val="32"/>
          <w:lang w:val="en-US" w:eastAsia="zh-CN"/>
        </w:rPr>
        <w:t>0</w:t>
      </w:r>
      <w:r>
        <w:rPr>
          <w:rFonts w:hint="eastAsia" w:asciiTheme="minorEastAsia" w:hAnsiTheme="minorEastAsia" w:eastAsiaTheme="minorEastAsia"/>
          <w:sz w:val="32"/>
          <w:szCs w:val="32"/>
        </w:rPr>
        <w:t>万元，支出决算为</w:t>
      </w:r>
      <w:r>
        <w:rPr>
          <w:rFonts w:hint="eastAsia" w:asciiTheme="minorEastAsia" w:hAnsiTheme="minorEastAsia" w:eastAsiaTheme="minorEastAsia"/>
          <w:sz w:val="32"/>
          <w:szCs w:val="32"/>
          <w:lang w:val="en-US" w:eastAsia="zh-CN"/>
        </w:rPr>
        <w:t>2.11</w:t>
      </w:r>
      <w:r>
        <w:rPr>
          <w:rFonts w:hint="eastAsia" w:asciiTheme="minorEastAsia" w:hAnsiTheme="minorEastAsia" w:eastAsiaTheme="minorEastAsia"/>
          <w:sz w:val="32"/>
          <w:szCs w:val="32"/>
        </w:rPr>
        <w:t>万元，决算数大于年初预算数的主要原因是：</w:t>
      </w:r>
      <w:r>
        <w:rPr>
          <w:rFonts w:hint="eastAsia" w:asciiTheme="minorEastAsia" w:hAnsiTheme="minorEastAsia" w:eastAsiaTheme="minorEastAsia"/>
          <w:sz w:val="32"/>
          <w:szCs w:val="32"/>
          <w:lang w:eastAsia="zh-CN"/>
        </w:rPr>
        <w:t>年末增加新的专项活动资金。</w:t>
      </w:r>
    </w:p>
    <w:p>
      <w:pPr>
        <w:pStyle w:val="12"/>
        <w:keepNext w:val="0"/>
        <w:keepLines w:val="0"/>
        <w:pageBreakBefore w:val="0"/>
        <w:numPr>
          <w:ilvl w:val="0"/>
          <w:numId w:val="1"/>
        </w:numPr>
        <w:kinsoku/>
        <w:wordWrap/>
        <w:overflowPunct/>
        <w:topLinePunct w:val="0"/>
        <w:bidi w:val="0"/>
        <w:spacing w:line="600" w:lineRule="exact"/>
        <w:ind w:firstLine="640" w:firstLineChars="200"/>
        <w:textAlignment w:val="auto"/>
        <w:rPr>
          <w:rFonts w:hint="eastAsia" w:asciiTheme="minorEastAsia" w:hAnsiTheme="minorEastAsia" w:eastAsiaTheme="minorEastAsia"/>
          <w:sz w:val="32"/>
          <w:szCs w:val="32"/>
        </w:rPr>
      </w:pPr>
      <w:r>
        <w:rPr>
          <w:rFonts w:hint="eastAsia" w:asciiTheme="minorEastAsia" w:hAnsiTheme="minorEastAsia" w:eastAsiaTheme="minorEastAsia"/>
          <w:sz w:val="32"/>
          <w:szCs w:val="32"/>
          <w:lang w:val="en-US" w:eastAsia="zh-CN"/>
        </w:rPr>
        <w:t>医疗卫生与计划生育支出</w:t>
      </w:r>
      <w:r>
        <w:rPr>
          <w:rFonts w:hint="eastAsia" w:asciiTheme="minorEastAsia" w:hAnsiTheme="minorEastAsia" w:eastAsiaTheme="minorEastAsia"/>
          <w:sz w:val="32"/>
          <w:szCs w:val="32"/>
          <w:lang w:eastAsia="zh-CN"/>
        </w:rPr>
        <w:t>社会保障和就业支出（类）行政事业单位医疗（款）公务员医疗补助（项）</w:t>
      </w:r>
      <w:r>
        <w:rPr>
          <w:rFonts w:hint="eastAsia" w:asciiTheme="minorEastAsia" w:hAnsiTheme="minorEastAsia" w:eastAsiaTheme="minorEastAsia"/>
          <w:sz w:val="32"/>
          <w:szCs w:val="32"/>
        </w:rPr>
        <w:t>。</w:t>
      </w:r>
    </w:p>
    <w:p>
      <w:pPr>
        <w:pStyle w:val="12"/>
        <w:keepNext w:val="0"/>
        <w:keepLines w:val="0"/>
        <w:pageBreakBefore w:val="0"/>
        <w:numPr>
          <w:ilvl w:val="0"/>
          <w:numId w:val="0"/>
        </w:numPr>
        <w:kinsoku/>
        <w:wordWrap/>
        <w:overflowPunct/>
        <w:topLinePunct w:val="0"/>
        <w:bidi w:val="0"/>
        <w:spacing w:line="600" w:lineRule="exact"/>
        <w:ind w:firstLine="640" w:firstLineChars="200"/>
        <w:textAlignment w:val="auto"/>
        <w:rPr>
          <w:rFonts w:hint="eastAsia" w:asciiTheme="minorEastAsia" w:hAnsiTheme="minorEastAsia" w:eastAsiaTheme="minorEastAsia"/>
          <w:sz w:val="32"/>
          <w:szCs w:val="32"/>
        </w:rPr>
      </w:pPr>
      <w:r>
        <w:rPr>
          <w:rFonts w:hint="eastAsia" w:asciiTheme="minorEastAsia" w:hAnsiTheme="minorEastAsia" w:eastAsiaTheme="minorEastAsia"/>
          <w:sz w:val="32"/>
          <w:szCs w:val="32"/>
        </w:rPr>
        <w:t>年初预算为</w:t>
      </w:r>
      <w:r>
        <w:rPr>
          <w:rFonts w:hint="eastAsia" w:asciiTheme="minorEastAsia" w:hAnsiTheme="minorEastAsia" w:eastAsiaTheme="minorEastAsia"/>
          <w:sz w:val="32"/>
          <w:szCs w:val="32"/>
          <w:lang w:val="en-US" w:eastAsia="zh-CN"/>
        </w:rPr>
        <w:t>0</w:t>
      </w:r>
      <w:r>
        <w:rPr>
          <w:rFonts w:hint="eastAsia" w:asciiTheme="minorEastAsia" w:hAnsiTheme="minorEastAsia" w:eastAsiaTheme="minorEastAsia"/>
          <w:sz w:val="32"/>
          <w:szCs w:val="32"/>
        </w:rPr>
        <w:t>万元，支出决算为</w:t>
      </w:r>
      <w:r>
        <w:rPr>
          <w:rFonts w:hint="eastAsia" w:asciiTheme="minorEastAsia" w:hAnsiTheme="minorEastAsia" w:eastAsiaTheme="minorEastAsia"/>
          <w:sz w:val="32"/>
          <w:szCs w:val="32"/>
          <w:lang w:val="en-US" w:eastAsia="zh-CN"/>
        </w:rPr>
        <w:t>1.09</w:t>
      </w:r>
      <w:r>
        <w:rPr>
          <w:rFonts w:hint="eastAsia" w:asciiTheme="minorEastAsia" w:hAnsiTheme="minorEastAsia" w:eastAsiaTheme="minorEastAsia"/>
          <w:sz w:val="32"/>
          <w:szCs w:val="32"/>
        </w:rPr>
        <w:t>万元，决算数大</w:t>
      </w:r>
      <w:r>
        <w:rPr>
          <w:rFonts w:hint="eastAsia" w:asciiTheme="minorEastAsia" w:hAnsiTheme="minorEastAsia" w:eastAsiaTheme="minorEastAsia"/>
          <w:sz w:val="32"/>
          <w:szCs w:val="32"/>
          <w:lang w:eastAsia="zh-CN"/>
        </w:rPr>
        <w:t>于</w:t>
      </w:r>
      <w:r>
        <w:rPr>
          <w:rFonts w:hint="eastAsia" w:asciiTheme="minorEastAsia" w:hAnsiTheme="minorEastAsia" w:eastAsiaTheme="minorEastAsia"/>
          <w:sz w:val="32"/>
          <w:szCs w:val="32"/>
        </w:rPr>
        <w:t>年初预算数的主要原因是：</w:t>
      </w:r>
      <w:r>
        <w:rPr>
          <w:rFonts w:hint="eastAsia" w:asciiTheme="minorEastAsia" w:hAnsiTheme="minorEastAsia" w:eastAsiaTheme="minorEastAsia"/>
          <w:sz w:val="32"/>
          <w:szCs w:val="32"/>
          <w:lang w:eastAsia="zh-CN"/>
        </w:rPr>
        <w:t>年中增加公务员的住院医疗补助。</w:t>
      </w:r>
    </w:p>
    <w:p>
      <w:pPr>
        <w:pStyle w:val="12"/>
        <w:keepNext w:val="0"/>
        <w:keepLines w:val="0"/>
        <w:pageBreakBefore w:val="0"/>
        <w:kinsoku/>
        <w:wordWrap/>
        <w:overflowPunct/>
        <w:topLinePunct w:val="0"/>
        <w:bidi w:val="0"/>
        <w:spacing w:line="600" w:lineRule="exact"/>
        <w:ind w:firstLine="643" w:firstLineChars="200"/>
        <w:textAlignment w:val="auto"/>
        <w:rPr>
          <w:rFonts w:hAnsi="黑体"/>
          <w:b/>
          <w:sz w:val="32"/>
          <w:szCs w:val="32"/>
        </w:rPr>
      </w:pPr>
      <w:r>
        <w:rPr>
          <w:rFonts w:hint="eastAsia" w:hAnsi="黑体"/>
          <w:b/>
          <w:sz w:val="32"/>
          <w:szCs w:val="32"/>
        </w:rPr>
        <w:t>六、一般公共预算财政拨款基本支出决算情况说明</w:t>
      </w:r>
    </w:p>
    <w:p>
      <w:pPr>
        <w:pStyle w:val="12"/>
        <w:keepNext w:val="0"/>
        <w:keepLines w:val="0"/>
        <w:pageBreakBefore w:val="0"/>
        <w:kinsoku/>
        <w:wordWrap/>
        <w:overflowPunct/>
        <w:topLinePunct w:val="0"/>
        <w:bidi w:val="0"/>
        <w:spacing w:line="600" w:lineRule="exact"/>
        <w:ind w:firstLine="640" w:firstLineChars="200"/>
        <w:textAlignment w:val="auto"/>
        <w:rPr>
          <w:rFonts w:asciiTheme="minorEastAsia" w:hAnsiTheme="minorEastAsia" w:eastAsiaTheme="minorEastAsia"/>
          <w:sz w:val="32"/>
          <w:szCs w:val="32"/>
        </w:rPr>
      </w:pPr>
      <w:r>
        <w:rPr>
          <w:rFonts w:hint="eastAsia" w:asciiTheme="minorEastAsia" w:hAnsiTheme="minorEastAsia" w:eastAsiaTheme="minorEastAsia"/>
          <w:sz w:val="32"/>
          <w:szCs w:val="32"/>
        </w:rPr>
        <w:t>201</w:t>
      </w:r>
      <w:r>
        <w:rPr>
          <w:rFonts w:hint="eastAsia" w:asciiTheme="minorEastAsia" w:hAnsiTheme="minorEastAsia" w:eastAsiaTheme="minorEastAsia"/>
          <w:sz w:val="32"/>
          <w:szCs w:val="32"/>
          <w:lang w:val="en-US" w:eastAsia="zh-CN"/>
        </w:rPr>
        <w:t>8</w:t>
      </w:r>
      <w:r>
        <w:rPr>
          <w:rFonts w:hint="eastAsia" w:asciiTheme="minorEastAsia" w:hAnsiTheme="minorEastAsia" w:eastAsiaTheme="minorEastAsia"/>
          <w:sz w:val="32"/>
          <w:szCs w:val="32"/>
        </w:rPr>
        <w:t>年度财政拨款基本支出</w:t>
      </w:r>
      <w:r>
        <w:rPr>
          <w:rFonts w:hint="eastAsia" w:asciiTheme="minorEastAsia" w:hAnsiTheme="minorEastAsia" w:eastAsiaTheme="minorEastAsia"/>
          <w:sz w:val="32"/>
          <w:szCs w:val="32"/>
          <w:lang w:val="en-US" w:eastAsia="zh-CN"/>
        </w:rPr>
        <w:t>98.41</w:t>
      </w:r>
      <w:r>
        <w:rPr>
          <w:rFonts w:hint="eastAsia" w:asciiTheme="minorEastAsia" w:hAnsiTheme="minorEastAsia" w:eastAsiaTheme="minorEastAsia"/>
          <w:sz w:val="32"/>
          <w:szCs w:val="32"/>
        </w:rPr>
        <w:t>元，其中：人员经费</w:t>
      </w:r>
      <w:r>
        <w:rPr>
          <w:rFonts w:hint="eastAsia" w:asciiTheme="minorEastAsia" w:hAnsiTheme="minorEastAsia" w:eastAsiaTheme="minorEastAsia"/>
          <w:sz w:val="32"/>
          <w:szCs w:val="32"/>
          <w:lang w:val="en-US" w:eastAsia="zh-CN"/>
        </w:rPr>
        <w:t>77.4</w:t>
      </w:r>
      <w:r>
        <w:rPr>
          <w:rFonts w:hint="eastAsia" w:asciiTheme="minorEastAsia" w:hAnsiTheme="minorEastAsia" w:eastAsiaTheme="minorEastAsia"/>
          <w:sz w:val="32"/>
          <w:szCs w:val="32"/>
        </w:rPr>
        <w:t>万元，占基本支出的</w:t>
      </w:r>
      <w:r>
        <w:rPr>
          <w:rFonts w:hint="eastAsia" w:asciiTheme="minorEastAsia" w:hAnsiTheme="minorEastAsia" w:eastAsiaTheme="minorEastAsia"/>
          <w:sz w:val="32"/>
          <w:szCs w:val="32"/>
          <w:lang w:val="en-US" w:eastAsia="zh-CN"/>
        </w:rPr>
        <w:t>78.65</w:t>
      </w:r>
      <w:r>
        <w:rPr>
          <w:rFonts w:hint="eastAsia" w:asciiTheme="minorEastAsia" w:hAnsiTheme="minorEastAsia" w:eastAsiaTheme="minorEastAsia"/>
          <w:sz w:val="32"/>
          <w:szCs w:val="32"/>
        </w:rPr>
        <w:t>%,主要包括基本工资、津贴补贴、奖金、</w:t>
      </w:r>
      <w:r>
        <w:rPr>
          <w:rFonts w:hint="eastAsia" w:asciiTheme="minorEastAsia" w:hAnsiTheme="minorEastAsia" w:eastAsiaTheme="minorEastAsia"/>
          <w:sz w:val="32"/>
          <w:szCs w:val="32"/>
          <w:lang w:eastAsia="zh-CN"/>
        </w:rPr>
        <w:t>绩效工资、其他工资福利支出、退休费</w:t>
      </w:r>
      <w:r>
        <w:rPr>
          <w:rFonts w:hint="eastAsia" w:asciiTheme="minorEastAsia" w:hAnsiTheme="minorEastAsia" w:eastAsiaTheme="minorEastAsia"/>
          <w:sz w:val="32"/>
          <w:szCs w:val="32"/>
        </w:rPr>
        <w:t>；公用经费</w:t>
      </w:r>
      <w:r>
        <w:rPr>
          <w:rFonts w:hint="eastAsia" w:asciiTheme="minorEastAsia" w:hAnsiTheme="minorEastAsia" w:eastAsiaTheme="minorEastAsia"/>
          <w:sz w:val="32"/>
          <w:szCs w:val="32"/>
          <w:lang w:val="en-US" w:eastAsia="zh-CN"/>
        </w:rPr>
        <w:t>21</w:t>
      </w:r>
      <w:r>
        <w:rPr>
          <w:rFonts w:hint="eastAsia" w:asciiTheme="minorEastAsia" w:hAnsiTheme="minorEastAsia" w:eastAsiaTheme="minorEastAsia"/>
          <w:sz w:val="32"/>
          <w:szCs w:val="32"/>
        </w:rPr>
        <w:t>万元，占基本支出的</w:t>
      </w:r>
      <w:r>
        <w:rPr>
          <w:rFonts w:hint="eastAsia" w:asciiTheme="minorEastAsia" w:hAnsiTheme="minorEastAsia" w:eastAsiaTheme="minorEastAsia"/>
          <w:sz w:val="32"/>
          <w:szCs w:val="32"/>
          <w:lang w:val="en-US" w:eastAsia="zh-CN"/>
        </w:rPr>
        <w:t>21.35</w:t>
      </w:r>
      <w:r>
        <w:rPr>
          <w:rFonts w:hint="eastAsia" w:asciiTheme="minorEastAsia" w:hAnsiTheme="minorEastAsia" w:eastAsiaTheme="minorEastAsia"/>
          <w:sz w:val="32"/>
          <w:szCs w:val="32"/>
        </w:rPr>
        <w:t>%，主要包括办公费、印刷费、</w:t>
      </w:r>
      <w:r>
        <w:rPr>
          <w:rFonts w:hint="eastAsia" w:asciiTheme="minorEastAsia" w:hAnsiTheme="minorEastAsia" w:eastAsiaTheme="minorEastAsia"/>
          <w:sz w:val="32"/>
          <w:szCs w:val="32"/>
          <w:lang w:eastAsia="zh-CN"/>
        </w:rPr>
        <w:t>电费、差旅费、租赁费、公务接待费、公务用车运行维护费、其他交通费用、其他商品和服务支出</w:t>
      </w:r>
      <w:r>
        <w:rPr>
          <w:rFonts w:hint="eastAsia" w:asciiTheme="minorEastAsia" w:hAnsiTheme="minorEastAsia" w:eastAsiaTheme="minorEastAsia"/>
          <w:sz w:val="32"/>
          <w:szCs w:val="32"/>
        </w:rPr>
        <w:t>。</w:t>
      </w:r>
    </w:p>
    <w:p>
      <w:pPr>
        <w:pStyle w:val="12"/>
        <w:keepNext w:val="0"/>
        <w:keepLines w:val="0"/>
        <w:pageBreakBefore w:val="0"/>
        <w:kinsoku/>
        <w:wordWrap/>
        <w:overflowPunct/>
        <w:topLinePunct w:val="0"/>
        <w:bidi w:val="0"/>
        <w:spacing w:line="600" w:lineRule="exact"/>
        <w:ind w:firstLine="643" w:firstLineChars="200"/>
        <w:textAlignment w:val="auto"/>
        <w:rPr>
          <w:rFonts w:hAnsi="黑体"/>
          <w:b/>
          <w:sz w:val="32"/>
          <w:szCs w:val="32"/>
        </w:rPr>
      </w:pPr>
      <w:r>
        <w:rPr>
          <w:rFonts w:hint="eastAsia" w:hAnsi="黑体"/>
          <w:b/>
          <w:sz w:val="32"/>
          <w:szCs w:val="32"/>
        </w:rPr>
        <w:t>七、一般公共预算财政拨款三公经费支出决算情况说明</w:t>
      </w:r>
    </w:p>
    <w:p>
      <w:pPr>
        <w:pStyle w:val="12"/>
        <w:keepNext w:val="0"/>
        <w:keepLines w:val="0"/>
        <w:pageBreakBefore w:val="0"/>
        <w:kinsoku/>
        <w:wordWrap/>
        <w:overflowPunct/>
        <w:topLinePunct w:val="0"/>
        <w:bidi w:val="0"/>
        <w:spacing w:line="600" w:lineRule="exact"/>
        <w:ind w:firstLine="643" w:firstLineChars="200"/>
        <w:textAlignment w:val="auto"/>
        <w:rPr>
          <w:rFonts w:asciiTheme="minorEastAsia" w:hAnsiTheme="minorEastAsia" w:eastAsiaTheme="minorEastAsia"/>
          <w:b/>
          <w:sz w:val="32"/>
          <w:szCs w:val="32"/>
        </w:rPr>
      </w:pPr>
      <w:r>
        <w:rPr>
          <w:rFonts w:hint="eastAsia" w:asciiTheme="minorEastAsia" w:hAnsiTheme="minorEastAsia" w:eastAsiaTheme="minorEastAsia"/>
          <w:b/>
          <w:sz w:val="32"/>
          <w:szCs w:val="32"/>
        </w:rPr>
        <w:t>（一）“三公”经费财政拨款支出决算总体情况说明</w:t>
      </w:r>
    </w:p>
    <w:p>
      <w:pPr>
        <w:pStyle w:val="12"/>
        <w:keepNext w:val="0"/>
        <w:keepLines w:val="0"/>
        <w:pageBreakBefore w:val="0"/>
        <w:kinsoku/>
        <w:wordWrap/>
        <w:overflowPunct/>
        <w:topLinePunct w:val="0"/>
        <w:bidi w:val="0"/>
        <w:spacing w:line="600" w:lineRule="exact"/>
        <w:ind w:firstLine="640" w:firstLineChars="200"/>
        <w:textAlignment w:val="auto"/>
        <w:rPr>
          <w:rFonts w:asciiTheme="minorEastAsia" w:hAnsiTheme="minorEastAsia" w:eastAsiaTheme="minorEastAsia"/>
          <w:sz w:val="32"/>
          <w:szCs w:val="32"/>
        </w:rPr>
      </w:pPr>
      <w:r>
        <w:rPr>
          <w:rFonts w:hint="eastAsia" w:asciiTheme="minorEastAsia" w:hAnsiTheme="minorEastAsia" w:eastAsiaTheme="minorEastAsia"/>
          <w:sz w:val="32"/>
          <w:szCs w:val="32"/>
        </w:rPr>
        <w:t>“三公”经费财政拨款支出预算为</w:t>
      </w:r>
      <w:r>
        <w:rPr>
          <w:rFonts w:hint="eastAsia" w:asciiTheme="minorEastAsia" w:hAnsiTheme="minorEastAsia" w:eastAsiaTheme="minorEastAsia"/>
          <w:sz w:val="32"/>
          <w:szCs w:val="32"/>
          <w:lang w:val="en-US" w:eastAsia="zh-CN"/>
        </w:rPr>
        <w:t>5.5</w:t>
      </w:r>
      <w:r>
        <w:rPr>
          <w:rFonts w:hint="eastAsia" w:asciiTheme="minorEastAsia" w:hAnsiTheme="minorEastAsia" w:eastAsiaTheme="minorEastAsia"/>
          <w:sz w:val="32"/>
          <w:szCs w:val="32"/>
        </w:rPr>
        <w:t>万元，支出决算为</w:t>
      </w:r>
      <w:r>
        <w:rPr>
          <w:rFonts w:hint="eastAsia" w:asciiTheme="minorEastAsia" w:hAnsiTheme="minorEastAsia" w:eastAsiaTheme="minorEastAsia"/>
          <w:sz w:val="32"/>
          <w:szCs w:val="32"/>
          <w:lang w:val="en-US" w:eastAsia="zh-CN"/>
        </w:rPr>
        <w:t>3.55</w:t>
      </w:r>
      <w:r>
        <w:rPr>
          <w:rFonts w:hint="eastAsia" w:asciiTheme="minorEastAsia" w:hAnsiTheme="minorEastAsia" w:eastAsiaTheme="minorEastAsia"/>
          <w:sz w:val="32"/>
          <w:szCs w:val="32"/>
        </w:rPr>
        <w:t>万元，完成预算的</w:t>
      </w:r>
      <w:r>
        <w:rPr>
          <w:rFonts w:hint="eastAsia" w:asciiTheme="minorEastAsia" w:hAnsiTheme="minorEastAsia" w:eastAsiaTheme="minorEastAsia"/>
          <w:sz w:val="32"/>
          <w:szCs w:val="32"/>
          <w:lang w:val="en-US" w:eastAsia="zh-CN"/>
        </w:rPr>
        <w:t>64.55</w:t>
      </w:r>
      <w:r>
        <w:rPr>
          <w:rFonts w:hint="eastAsia" w:asciiTheme="minorEastAsia" w:hAnsiTheme="minorEastAsia" w:eastAsiaTheme="minorEastAsia"/>
          <w:sz w:val="32"/>
          <w:szCs w:val="32"/>
        </w:rPr>
        <w:t>%，其中：</w:t>
      </w:r>
    </w:p>
    <w:p>
      <w:pPr>
        <w:pStyle w:val="12"/>
        <w:keepNext w:val="0"/>
        <w:keepLines w:val="0"/>
        <w:pageBreakBefore w:val="0"/>
        <w:kinsoku/>
        <w:wordWrap/>
        <w:overflowPunct/>
        <w:topLinePunct w:val="0"/>
        <w:bidi w:val="0"/>
        <w:spacing w:line="600" w:lineRule="exact"/>
        <w:ind w:firstLine="640" w:firstLineChars="200"/>
        <w:textAlignment w:val="auto"/>
        <w:rPr>
          <w:rFonts w:hint="eastAsia" w:asciiTheme="minorEastAsia" w:hAnsiTheme="minorEastAsia" w:eastAsiaTheme="minorEastAsia"/>
          <w:sz w:val="32"/>
          <w:szCs w:val="32"/>
          <w:lang w:eastAsia="zh-CN"/>
        </w:rPr>
      </w:pPr>
      <w:r>
        <w:rPr>
          <w:rFonts w:hint="eastAsia" w:asciiTheme="minorEastAsia" w:hAnsiTheme="minorEastAsia" w:eastAsiaTheme="minorEastAsia"/>
          <w:sz w:val="32"/>
          <w:szCs w:val="32"/>
        </w:rPr>
        <w:t>因公出国（境）费支出预算为</w:t>
      </w:r>
      <w:r>
        <w:rPr>
          <w:rFonts w:hint="eastAsia" w:asciiTheme="minorEastAsia" w:hAnsiTheme="minorEastAsia" w:eastAsiaTheme="minorEastAsia"/>
          <w:sz w:val="32"/>
          <w:szCs w:val="32"/>
          <w:lang w:val="en-US" w:eastAsia="zh-CN"/>
        </w:rPr>
        <w:t>0</w:t>
      </w:r>
      <w:r>
        <w:rPr>
          <w:rFonts w:hint="eastAsia" w:asciiTheme="minorEastAsia" w:hAnsiTheme="minorEastAsia" w:eastAsiaTheme="minorEastAsia"/>
          <w:sz w:val="32"/>
          <w:szCs w:val="32"/>
        </w:rPr>
        <w:t>万元，支出决算为</w:t>
      </w:r>
      <w:r>
        <w:rPr>
          <w:rFonts w:hint="eastAsia" w:asciiTheme="minorEastAsia" w:hAnsiTheme="minorEastAsia" w:eastAsiaTheme="minorEastAsia"/>
          <w:sz w:val="32"/>
          <w:szCs w:val="32"/>
          <w:lang w:val="en-US" w:eastAsia="zh-CN"/>
        </w:rPr>
        <w:t>0</w:t>
      </w:r>
      <w:r>
        <w:rPr>
          <w:rFonts w:hint="eastAsia" w:asciiTheme="minorEastAsia" w:hAnsiTheme="minorEastAsia" w:eastAsiaTheme="minorEastAsia"/>
          <w:sz w:val="32"/>
          <w:szCs w:val="32"/>
        </w:rPr>
        <w:t>万元，完成预算的</w:t>
      </w:r>
      <w:r>
        <w:rPr>
          <w:rFonts w:hint="eastAsia" w:asciiTheme="minorEastAsia" w:hAnsiTheme="minorEastAsia" w:eastAsiaTheme="minorEastAsia"/>
          <w:sz w:val="32"/>
          <w:szCs w:val="32"/>
          <w:lang w:val="en-US" w:eastAsia="zh-CN"/>
        </w:rPr>
        <w:t>0%，</w:t>
      </w:r>
      <w:r>
        <w:rPr>
          <w:rFonts w:hint="eastAsia" w:asciiTheme="minorEastAsia" w:hAnsiTheme="minorEastAsia" w:eastAsiaTheme="minorEastAsia"/>
          <w:sz w:val="32"/>
          <w:szCs w:val="32"/>
        </w:rPr>
        <w:t>与上年相比</w:t>
      </w:r>
      <w:r>
        <w:rPr>
          <w:rFonts w:hint="eastAsia" w:asciiTheme="minorEastAsia" w:hAnsiTheme="minorEastAsia" w:eastAsiaTheme="minorEastAsia"/>
          <w:sz w:val="32"/>
          <w:szCs w:val="32"/>
          <w:lang w:eastAsia="zh-CN"/>
        </w:rPr>
        <w:t>持平。</w:t>
      </w:r>
    </w:p>
    <w:p>
      <w:pPr>
        <w:pStyle w:val="12"/>
        <w:keepNext w:val="0"/>
        <w:keepLines w:val="0"/>
        <w:pageBreakBefore w:val="0"/>
        <w:kinsoku/>
        <w:wordWrap/>
        <w:overflowPunct/>
        <w:topLinePunct w:val="0"/>
        <w:bidi w:val="0"/>
        <w:spacing w:line="600" w:lineRule="exact"/>
        <w:ind w:firstLine="640" w:firstLineChars="200"/>
        <w:textAlignment w:val="auto"/>
        <w:rPr>
          <w:rFonts w:asciiTheme="minorEastAsia" w:hAnsiTheme="minorEastAsia" w:eastAsiaTheme="minorEastAsia"/>
          <w:sz w:val="32"/>
          <w:szCs w:val="32"/>
        </w:rPr>
      </w:pPr>
      <w:r>
        <w:rPr>
          <w:rFonts w:hint="eastAsia" w:asciiTheme="minorEastAsia" w:hAnsiTheme="minorEastAsia" w:eastAsiaTheme="minorEastAsia"/>
          <w:sz w:val="32"/>
          <w:szCs w:val="32"/>
        </w:rPr>
        <w:t>公务接待费支出预算为</w:t>
      </w:r>
      <w:r>
        <w:rPr>
          <w:rFonts w:hint="eastAsia" w:asciiTheme="minorEastAsia" w:hAnsiTheme="minorEastAsia" w:eastAsiaTheme="minorEastAsia"/>
          <w:sz w:val="32"/>
          <w:szCs w:val="32"/>
          <w:lang w:val="en-US" w:eastAsia="zh-CN"/>
        </w:rPr>
        <w:t>2.5</w:t>
      </w:r>
      <w:r>
        <w:rPr>
          <w:rFonts w:hint="eastAsia" w:asciiTheme="minorEastAsia" w:hAnsiTheme="minorEastAsia" w:eastAsiaTheme="minorEastAsia"/>
          <w:sz w:val="32"/>
          <w:szCs w:val="32"/>
        </w:rPr>
        <w:t>万元，支出决算为</w:t>
      </w:r>
      <w:r>
        <w:rPr>
          <w:rFonts w:hint="eastAsia" w:asciiTheme="minorEastAsia" w:hAnsiTheme="minorEastAsia" w:eastAsiaTheme="minorEastAsia"/>
          <w:sz w:val="32"/>
          <w:szCs w:val="32"/>
          <w:lang w:val="en-US" w:eastAsia="zh-CN"/>
        </w:rPr>
        <w:t>0.57</w:t>
      </w:r>
      <w:r>
        <w:rPr>
          <w:rFonts w:hint="eastAsia" w:asciiTheme="minorEastAsia" w:hAnsiTheme="minorEastAsia" w:eastAsiaTheme="minorEastAsia"/>
          <w:sz w:val="32"/>
          <w:szCs w:val="32"/>
        </w:rPr>
        <w:t>万元，完成预算的</w:t>
      </w:r>
      <w:r>
        <w:rPr>
          <w:rFonts w:hint="eastAsia" w:asciiTheme="minorEastAsia" w:hAnsiTheme="minorEastAsia" w:eastAsiaTheme="minorEastAsia"/>
          <w:sz w:val="32"/>
          <w:szCs w:val="32"/>
          <w:lang w:val="en-US" w:eastAsia="zh-CN"/>
        </w:rPr>
        <w:t>22.8</w:t>
      </w:r>
      <w:r>
        <w:rPr>
          <w:rFonts w:hint="eastAsia" w:asciiTheme="minorEastAsia" w:hAnsiTheme="minorEastAsia" w:eastAsiaTheme="minorEastAsia"/>
          <w:sz w:val="32"/>
          <w:szCs w:val="32"/>
        </w:rPr>
        <w:t>%，决算数小于年初预算数的主要原因是</w:t>
      </w:r>
      <w:r>
        <w:rPr>
          <w:rFonts w:hint="eastAsia" w:asciiTheme="minorEastAsia" w:hAnsiTheme="minorEastAsia" w:eastAsiaTheme="minorEastAsia"/>
          <w:sz w:val="32"/>
          <w:szCs w:val="32"/>
          <w:lang w:eastAsia="zh-CN"/>
        </w:rPr>
        <w:t>积极贯彻落实中央关于厉行节约的要求，从严控制公务接待行为。</w:t>
      </w:r>
      <w:r>
        <w:rPr>
          <w:rFonts w:hint="eastAsia" w:asciiTheme="minorEastAsia" w:hAnsiTheme="minorEastAsia" w:eastAsiaTheme="minorEastAsia"/>
          <w:sz w:val="32"/>
          <w:szCs w:val="32"/>
        </w:rPr>
        <w:t>与上年相比减少</w:t>
      </w:r>
      <w:r>
        <w:rPr>
          <w:rFonts w:hint="eastAsia" w:asciiTheme="minorEastAsia" w:hAnsiTheme="minorEastAsia" w:eastAsiaTheme="minorEastAsia"/>
          <w:sz w:val="32"/>
          <w:szCs w:val="32"/>
          <w:lang w:val="en-US" w:eastAsia="zh-CN"/>
        </w:rPr>
        <w:t>1.62</w:t>
      </w:r>
      <w:r>
        <w:rPr>
          <w:rFonts w:hint="eastAsia" w:asciiTheme="minorEastAsia" w:hAnsiTheme="minorEastAsia" w:eastAsiaTheme="minorEastAsia"/>
          <w:sz w:val="32"/>
          <w:szCs w:val="32"/>
        </w:rPr>
        <w:t>万元，减少</w:t>
      </w:r>
      <w:r>
        <w:rPr>
          <w:rFonts w:hint="eastAsia" w:asciiTheme="minorEastAsia" w:hAnsiTheme="minorEastAsia" w:eastAsiaTheme="minorEastAsia"/>
          <w:sz w:val="32"/>
          <w:szCs w:val="32"/>
          <w:lang w:val="en-US" w:eastAsia="zh-CN"/>
        </w:rPr>
        <w:t>73.98</w:t>
      </w:r>
      <w:r>
        <w:rPr>
          <w:rFonts w:hint="eastAsia" w:asciiTheme="minorEastAsia" w:hAnsiTheme="minorEastAsia" w:eastAsiaTheme="minorEastAsia"/>
          <w:sz w:val="32"/>
          <w:szCs w:val="32"/>
        </w:rPr>
        <w:t>%,减少的主要原因是</w:t>
      </w:r>
      <w:r>
        <w:rPr>
          <w:rFonts w:hint="eastAsia" w:asciiTheme="minorEastAsia" w:hAnsiTheme="minorEastAsia" w:eastAsiaTheme="minorEastAsia"/>
          <w:sz w:val="32"/>
          <w:szCs w:val="32"/>
          <w:lang w:eastAsia="zh-CN"/>
        </w:rPr>
        <w:t>严格控制公务接待行为</w:t>
      </w:r>
      <w:r>
        <w:rPr>
          <w:rFonts w:hint="eastAsia" w:asciiTheme="minorEastAsia" w:hAnsiTheme="minorEastAsia" w:eastAsiaTheme="minorEastAsia"/>
          <w:sz w:val="32"/>
          <w:szCs w:val="32"/>
        </w:rPr>
        <w:t>。</w:t>
      </w:r>
    </w:p>
    <w:p>
      <w:pPr>
        <w:pStyle w:val="12"/>
        <w:keepNext w:val="0"/>
        <w:keepLines w:val="0"/>
        <w:pageBreakBefore w:val="0"/>
        <w:kinsoku/>
        <w:wordWrap/>
        <w:overflowPunct/>
        <w:topLinePunct w:val="0"/>
        <w:bidi w:val="0"/>
        <w:spacing w:line="600" w:lineRule="exact"/>
        <w:ind w:firstLine="640" w:firstLineChars="200"/>
        <w:textAlignment w:val="auto"/>
        <w:rPr>
          <w:rFonts w:hint="eastAsia" w:asciiTheme="minorEastAsia" w:hAnsiTheme="minorEastAsia" w:eastAsiaTheme="minorEastAsia"/>
          <w:sz w:val="32"/>
          <w:szCs w:val="32"/>
          <w:lang w:eastAsia="zh-CN"/>
        </w:rPr>
      </w:pPr>
      <w:r>
        <w:rPr>
          <w:rFonts w:hint="eastAsia" w:asciiTheme="minorEastAsia" w:hAnsiTheme="minorEastAsia" w:eastAsiaTheme="minorEastAsia"/>
          <w:sz w:val="32"/>
          <w:szCs w:val="32"/>
        </w:rPr>
        <w:t>公务用车购置费及运行维护费支出预算为</w:t>
      </w:r>
      <w:r>
        <w:rPr>
          <w:rFonts w:hint="eastAsia" w:asciiTheme="minorEastAsia" w:hAnsiTheme="minorEastAsia" w:eastAsiaTheme="minorEastAsia"/>
          <w:sz w:val="32"/>
          <w:szCs w:val="32"/>
          <w:lang w:val="en-US" w:eastAsia="zh-CN"/>
        </w:rPr>
        <w:t>3</w:t>
      </w:r>
      <w:r>
        <w:rPr>
          <w:rFonts w:hint="eastAsia" w:asciiTheme="minorEastAsia" w:hAnsiTheme="minorEastAsia" w:eastAsiaTheme="minorEastAsia"/>
          <w:sz w:val="32"/>
          <w:szCs w:val="32"/>
        </w:rPr>
        <w:t>万元，支出决算为</w:t>
      </w:r>
      <w:r>
        <w:rPr>
          <w:rFonts w:hint="eastAsia" w:asciiTheme="minorEastAsia" w:hAnsiTheme="minorEastAsia" w:eastAsiaTheme="minorEastAsia"/>
          <w:sz w:val="32"/>
          <w:szCs w:val="32"/>
          <w:lang w:val="en-US" w:eastAsia="zh-CN"/>
        </w:rPr>
        <w:t>2.98</w:t>
      </w:r>
      <w:r>
        <w:rPr>
          <w:rFonts w:hint="eastAsia" w:asciiTheme="minorEastAsia" w:hAnsiTheme="minorEastAsia" w:eastAsiaTheme="minorEastAsia"/>
          <w:sz w:val="32"/>
          <w:szCs w:val="32"/>
        </w:rPr>
        <w:t>万元，完成预算的</w:t>
      </w:r>
      <w:r>
        <w:rPr>
          <w:rFonts w:hint="eastAsia" w:asciiTheme="minorEastAsia" w:hAnsiTheme="minorEastAsia" w:eastAsiaTheme="minorEastAsia"/>
          <w:sz w:val="32"/>
          <w:szCs w:val="32"/>
          <w:lang w:val="en-US" w:eastAsia="zh-CN"/>
        </w:rPr>
        <w:t>99.34</w:t>
      </w:r>
      <w:r>
        <w:rPr>
          <w:rFonts w:hint="eastAsia" w:asciiTheme="minorEastAsia" w:hAnsiTheme="minorEastAsia" w:eastAsiaTheme="minorEastAsia"/>
          <w:sz w:val="32"/>
          <w:szCs w:val="32"/>
        </w:rPr>
        <w:t>%，决算数小于年初预算数的主要原因是</w:t>
      </w:r>
      <w:r>
        <w:rPr>
          <w:rFonts w:hint="eastAsia" w:asciiTheme="minorEastAsia" w:hAnsiTheme="minorEastAsia" w:eastAsiaTheme="minorEastAsia"/>
          <w:sz w:val="32"/>
          <w:szCs w:val="32"/>
          <w:lang w:eastAsia="zh-CN"/>
        </w:rPr>
        <w:t>积极贯彻落实中央关于厉行节约的要求，从严控制公务用车购置费及</w:t>
      </w:r>
      <w:r>
        <w:rPr>
          <w:rFonts w:hint="eastAsia" w:asciiTheme="minorEastAsia" w:hAnsiTheme="minorEastAsia" w:eastAsiaTheme="minorEastAsia"/>
          <w:sz w:val="32"/>
          <w:szCs w:val="32"/>
        </w:rPr>
        <w:t>运行维护费支出</w:t>
      </w:r>
      <w:r>
        <w:rPr>
          <w:rFonts w:hint="eastAsia" w:asciiTheme="minorEastAsia" w:hAnsiTheme="minorEastAsia" w:eastAsiaTheme="minorEastAsia"/>
          <w:sz w:val="32"/>
          <w:szCs w:val="32"/>
          <w:lang w:eastAsia="zh-CN"/>
        </w:rPr>
        <w:t>。</w:t>
      </w:r>
    </w:p>
    <w:p>
      <w:pPr>
        <w:pStyle w:val="12"/>
        <w:keepNext w:val="0"/>
        <w:keepLines w:val="0"/>
        <w:pageBreakBefore w:val="0"/>
        <w:kinsoku/>
        <w:wordWrap/>
        <w:overflowPunct/>
        <w:topLinePunct w:val="0"/>
        <w:bidi w:val="0"/>
        <w:spacing w:line="600" w:lineRule="exact"/>
        <w:ind w:firstLine="640" w:firstLineChars="200"/>
        <w:textAlignment w:val="auto"/>
        <w:rPr>
          <w:rFonts w:asciiTheme="minorEastAsia" w:hAnsiTheme="minorEastAsia" w:eastAsiaTheme="minorEastAsia"/>
          <w:sz w:val="32"/>
          <w:szCs w:val="32"/>
        </w:rPr>
      </w:pPr>
      <w:r>
        <w:rPr>
          <w:rFonts w:hint="eastAsia" w:asciiTheme="minorEastAsia" w:hAnsiTheme="minorEastAsia" w:eastAsiaTheme="minorEastAsia"/>
          <w:sz w:val="32"/>
          <w:szCs w:val="32"/>
        </w:rPr>
        <w:t>与上年相比减少</w:t>
      </w:r>
      <w:r>
        <w:rPr>
          <w:rFonts w:hint="eastAsia" w:asciiTheme="minorEastAsia" w:hAnsiTheme="minorEastAsia" w:eastAsiaTheme="minorEastAsia"/>
          <w:sz w:val="32"/>
          <w:szCs w:val="32"/>
          <w:lang w:val="en-US" w:eastAsia="zh-CN"/>
        </w:rPr>
        <w:t>0.02</w:t>
      </w:r>
      <w:r>
        <w:rPr>
          <w:rFonts w:hint="eastAsia" w:asciiTheme="minorEastAsia" w:hAnsiTheme="minorEastAsia" w:eastAsiaTheme="minorEastAsia"/>
          <w:sz w:val="32"/>
          <w:szCs w:val="32"/>
        </w:rPr>
        <w:t>万元，减少</w:t>
      </w:r>
      <w:r>
        <w:rPr>
          <w:rFonts w:hint="eastAsia" w:asciiTheme="minorEastAsia" w:hAnsiTheme="minorEastAsia" w:eastAsiaTheme="minorEastAsia"/>
          <w:sz w:val="32"/>
          <w:szCs w:val="32"/>
          <w:lang w:val="en-US" w:eastAsia="zh-CN"/>
        </w:rPr>
        <w:t>0.6</w:t>
      </w:r>
      <w:r>
        <w:rPr>
          <w:rFonts w:hint="eastAsia" w:asciiTheme="minorEastAsia" w:hAnsiTheme="minorEastAsia" w:eastAsiaTheme="minorEastAsia"/>
          <w:sz w:val="32"/>
          <w:szCs w:val="32"/>
        </w:rPr>
        <w:t>%,减少</w:t>
      </w:r>
      <w:r>
        <w:rPr>
          <w:rFonts w:hint="eastAsia" w:asciiTheme="minorEastAsia" w:hAnsiTheme="minorEastAsia" w:eastAsiaTheme="minorEastAsia"/>
          <w:sz w:val="32"/>
          <w:szCs w:val="32"/>
          <w:lang w:eastAsia="zh-CN"/>
        </w:rPr>
        <w:t>的</w:t>
      </w:r>
      <w:r>
        <w:rPr>
          <w:rFonts w:hint="eastAsia" w:asciiTheme="minorEastAsia" w:hAnsiTheme="minorEastAsia" w:eastAsiaTheme="minorEastAsia"/>
          <w:sz w:val="32"/>
          <w:szCs w:val="32"/>
        </w:rPr>
        <w:t>主要原因是</w:t>
      </w:r>
      <w:r>
        <w:rPr>
          <w:rFonts w:hint="eastAsia" w:asciiTheme="minorEastAsia" w:hAnsiTheme="minorEastAsia" w:eastAsiaTheme="minorEastAsia"/>
          <w:sz w:val="32"/>
          <w:szCs w:val="32"/>
          <w:lang w:eastAsia="zh-CN"/>
        </w:rPr>
        <w:t>严格控制公务用车</w:t>
      </w:r>
      <w:r>
        <w:rPr>
          <w:rFonts w:hint="eastAsia" w:asciiTheme="minorEastAsia" w:hAnsiTheme="minorEastAsia" w:eastAsiaTheme="minorEastAsia"/>
          <w:sz w:val="32"/>
          <w:szCs w:val="32"/>
        </w:rPr>
        <w:t>。</w:t>
      </w:r>
    </w:p>
    <w:p>
      <w:pPr>
        <w:pStyle w:val="12"/>
        <w:keepNext w:val="0"/>
        <w:keepLines w:val="0"/>
        <w:pageBreakBefore w:val="0"/>
        <w:kinsoku/>
        <w:wordWrap/>
        <w:overflowPunct/>
        <w:topLinePunct w:val="0"/>
        <w:bidi w:val="0"/>
        <w:spacing w:line="600" w:lineRule="exact"/>
        <w:ind w:firstLine="643" w:firstLineChars="200"/>
        <w:textAlignment w:val="auto"/>
        <w:rPr>
          <w:rFonts w:asciiTheme="minorEastAsia" w:hAnsiTheme="minorEastAsia" w:eastAsiaTheme="minorEastAsia"/>
          <w:b/>
          <w:sz w:val="32"/>
          <w:szCs w:val="32"/>
        </w:rPr>
      </w:pPr>
      <w:r>
        <w:rPr>
          <w:rFonts w:hint="eastAsia" w:asciiTheme="minorEastAsia" w:hAnsiTheme="minorEastAsia" w:eastAsiaTheme="minorEastAsia"/>
          <w:b/>
          <w:sz w:val="32"/>
          <w:szCs w:val="32"/>
        </w:rPr>
        <w:t>（二）“三公”经费财政拨款支出决算具体情况说明</w:t>
      </w:r>
    </w:p>
    <w:p>
      <w:pPr>
        <w:pStyle w:val="12"/>
        <w:keepNext w:val="0"/>
        <w:keepLines w:val="0"/>
        <w:pageBreakBefore w:val="0"/>
        <w:kinsoku/>
        <w:wordWrap/>
        <w:overflowPunct/>
        <w:topLinePunct w:val="0"/>
        <w:bidi w:val="0"/>
        <w:spacing w:line="600" w:lineRule="exact"/>
        <w:ind w:firstLine="640" w:firstLineChars="200"/>
        <w:textAlignment w:val="auto"/>
        <w:rPr>
          <w:rFonts w:asciiTheme="minorEastAsia" w:hAnsiTheme="minorEastAsia" w:eastAsiaTheme="minorEastAsia"/>
          <w:sz w:val="32"/>
          <w:szCs w:val="32"/>
        </w:rPr>
      </w:pPr>
      <w:r>
        <w:rPr>
          <w:rFonts w:hint="eastAsia" w:asciiTheme="minorEastAsia" w:hAnsiTheme="minorEastAsia" w:eastAsiaTheme="minorEastAsia"/>
          <w:sz w:val="32"/>
          <w:szCs w:val="32"/>
        </w:rPr>
        <w:t>201</w:t>
      </w:r>
      <w:r>
        <w:rPr>
          <w:rFonts w:hint="eastAsia" w:asciiTheme="minorEastAsia" w:hAnsiTheme="minorEastAsia" w:eastAsiaTheme="minorEastAsia"/>
          <w:sz w:val="32"/>
          <w:szCs w:val="32"/>
          <w:lang w:val="en-US" w:eastAsia="zh-CN"/>
        </w:rPr>
        <w:t>8</w:t>
      </w:r>
      <w:r>
        <w:rPr>
          <w:rFonts w:hint="eastAsia" w:asciiTheme="minorEastAsia" w:hAnsiTheme="minorEastAsia" w:eastAsiaTheme="minorEastAsia"/>
          <w:sz w:val="32"/>
          <w:szCs w:val="32"/>
        </w:rPr>
        <w:t>年度“三公”经费财政拨款支出决算中，公务接待费支出决算</w:t>
      </w:r>
      <w:r>
        <w:rPr>
          <w:rFonts w:hint="eastAsia" w:asciiTheme="minorEastAsia" w:hAnsiTheme="minorEastAsia" w:eastAsiaTheme="minorEastAsia"/>
          <w:sz w:val="32"/>
          <w:szCs w:val="32"/>
          <w:lang w:val="en-US" w:eastAsia="zh-CN"/>
        </w:rPr>
        <w:t>0.57</w:t>
      </w:r>
      <w:r>
        <w:rPr>
          <w:rFonts w:hint="eastAsia" w:asciiTheme="minorEastAsia" w:hAnsiTheme="minorEastAsia" w:eastAsiaTheme="minorEastAsia"/>
          <w:sz w:val="32"/>
          <w:szCs w:val="32"/>
        </w:rPr>
        <w:t>万元，占</w:t>
      </w:r>
      <w:r>
        <w:rPr>
          <w:rFonts w:hint="eastAsia" w:asciiTheme="minorEastAsia" w:hAnsiTheme="minorEastAsia" w:eastAsiaTheme="minorEastAsia"/>
          <w:sz w:val="32"/>
          <w:szCs w:val="32"/>
          <w:lang w:val="en-US" w:eastAsia="zh-CN"/>
        </w:rPr>
        <w:t>16</w:t>
      </w:r>
      <w:r>
        <w:rPr>
          <w:rFonts w:hint="eastAsia" w:asciiTheme="minorEastAsia" w:hAnsiTheme="minorEastAsia" w:eastAsiaTheme="minorEastAsia"/>
          <w:sz w:val="32"/>
          <w:szCs w:val="32"/>
        </w:rPr>
        <w:t>%,因公出国（境）费支出决算</w:t>
      </w:r>
      <w:r>
        <w:rPr>
          <w:rFonts w:hint="eastAsia" w:asciiTheme="minorEastAsia" w:hAnsiTheme="minorEastAsia" w:eastAsiaTheme="minorEastAsia"/>
          <w:sz w:val="32"/>
          <w:szCs w:val="32"/>
          <w:lang w:val="en-US" w:eastAsia="zh-CN"/>
        </w:rPr>
        <w:t>0</w:t>
      </w:r>
      <w:r>
        <w:rPr>
          <w:rFonts w:hint="eastAsia" w:asciiTheme="minorEastAsia" w:hAnsiTheme="minorEastAsia" w:eastAsiaTheme="minorEastAsia"/>
          <w:sz w:val="32"/>
          <w:szCs w:val="32"/>
        </w:rPr>
        <w:t>万元，占</w:t>
      </w:r>
      <w:r>
        <w:rPr>
          <w:rFonts w:hint="eastAsia" w:asciiTheme="minorEastAsia" w:hAnsiTheme="minorEastAsia" w:eastAsiaTheme="minorEastAsia"/>
          <w:sz w:val="32"/>
          <w:szCs w:val="32"/>
          <w:lang w:val="en-US" w:eastAsia="zh-CN"/>
        </w:rPr>
        <w:t>0</w:t>
      </w:r>
      <w:r>
        <w:rPr>
          <w:rFonts w:hint="eastAsia" w:asciiTheme="minorEastAsia" w:hAnsiTheme="minorEastAsia" w:eastAsiaTheme="minorEastAsia"/>
          <w:sz w:val="32"/>
          <w:szCs w:val="32"/>
        </w:rPr>
        <w:t>%,公务用车购置费及运行维护费支出决算</w:t>
      </w:r>
      <w:r>
        <w:rPr>
          <w:rFonts w:hint="eastAsia" w:asciiTheme="minorEastAsia" w:hAnsiTheme="minorEastAsia" w:eastAsiaTheme="minorEastAsia"/>
          <w:sz w:val="32"/>
          <w:szCs w:val="32"/>
          <w:lang w:val="en-US" w:eastAsia="zh-CN"/>
        </w:rPr>
        <w:t>2.98</w:t>
      </w:r>
      <w:r>
        <w:rPr>
          <w:rFonts w:hint="eastAsia" w:asciiTheme="minorEastAsia" w:hAnsiTheme="minorEastAsia" w:eastAsiaTheme="minorEastAsia"/>
          <w:sz w:val="32"/>
          <w:szCs w:val="32"/>
        </w:rPr>
        <w:t>万元，占</w:t>
      </w:r>
      <w:r>
        <w:rPr>
          <w:rFonts w:hint="eastAsia" w:asciiTheme="minorEastAsia" w:hAnsiTheme="minorEastAsia" w:eastAsiaTheme="minorEastAsia"/>
          <w:sz w:val="32"/>
          <w:szCs w:val="32"/>
          <w:lang w:val="en-US" w:eastAsia="zh-CN"/>
        </w:rPr>
        <w:t>84</w:t>
      </w:r>
      <w:r>
        <w:rPr>
          <w:rFonts w:hint="eastAsia" w:asciiTheme="minorEastAsia" w:hAnsiTheme="minorEastAsia" w:eastAsiaTheme="minorEastAsia"/>
          <w:sz w:val="32"/>
          <w:szCs w:val="32"/>
        </w:rPr>
        <w:t>%。其中：</w:t>
      </w:r>
    </w:p>
    <w:p>
      <w:pPr>
        <w:pStyle w:val="12"/>
        <w:keepNext w:val="0"/>
        <w:keepLines w:val="0"/>
        <w:pageBreakBefore w:val="0"/>
        <w:kinsoku/>
        <w:wordWrap/>
        <w:overflowPunct/>
        <w:topLinePunct w:val="0"/>
        <w:bidi w:val="0"/>
        <w:spacing w:line="600" w:lineRule="exact"/>
        <w:ind w:firstLine="640" w:firstLineChars="200"/>
        <w:textAlignment w:val="auto"/>
        <w:rPr>
          <w:rFonts w:asciiTheme="minorEastAsia" w:hAnsiTheme="minorEastAsia" w:eastAsiaTheme="minorEastAsia"/>
          <w:sz w:val="32"/>
          <w:szCs w:val="32"/>
        </w:rPr>
      </w:pPr>
      <w:r>
        <w:rPr>
          <w:rFonts w:hint="eastAsia" w:asciiTheme="minorEastAsia" w:hAnsiTheme="minorEastAsia" w:eastAsiaTheme="minorEastAsia"/>
          <w:sz w:val="32"/>
          <w:szCs w:val="32"/>
        </w:rPr>
        <w:t>1、因公出国（境）费支出决算为</w:t>
      </w:r>
      <w:r>
        <w:rPr>
          <w:rFonts w:hint="eastAsia" w:asciiTheme="minorEastAsia" w:hAnsiTheme="minorEastAsia" w:eastAsiaTheme="minorEastAsia"/>
          <w:sz w:val="32"/>
          <w:szCs w:val="32"/>
          <w:lang w:val="en-US" w:eastAsia="zh-CN"/>
        </w:rPr>
        <w:t>0</w:t>
      </w:r>
      <w:r>
        <w:rPr>
          <w:rFonts w:hint="eastAsia" w:asciiTheme="minorEastAsia" w:hAnsiTheme="minorEastAsia" w:eastAsiaTheme="minorEastAsia"/>
          <w:sz w:val="32"/>
          <w:szCs w:val="32"/>
        </w:rPr>
        <w:t>万元，全年安排因公出国（境）团组</w:t>
      </w:r>
      <w:r>
        <w:rPr>
          <w:rFonts w:hint="eastAsia" w:asciiTheme="minorEastAsia" w:hAnsiTheme="minorEastAsia" w:eastAsiaTheme="minorEastAsia"/>
          <w:sz w:val="32"/>
          <w:szCs w:val="32"/>
          <w:lang w:val="en-US" w:eastAsia="zh-CN"/>
        </w:rPr>
        <w:t>0</w:t>
      </w:r>
      <w:r>
        <w:rPr>
          <w:rFonts w:hint="eastAsia" w:asciiTheme="minorEastAsia" w:hAnsiTheme="minorEastAsia" w:eastAsiaTheme="minorEastAsia"/>
          <w:sz w:val="32"/>
          <w:szCs w:val="32"/>
        </w:rPr>
        <w:t>个，累计</w:t>
      </w:r>
      <w:r>
        <w:rPr>
          <w:rFonts w:hint="eastAsia" w:asciiTheme="minorEastAsia" w:hAnsiTheme="minorEastAsia" w:eastAsiaTheme="minorEastAsia"/>
          <w:sz w:val="32"/>
          <w:szCs w:val="32"/>
          <w:lang w:val="en-US" w:eastAsia="zh-CN"/>
        </w:rPr>
        <w:t>0</w:t>
      </w:r>
      <w:r>
        <w:rPr>
          <w:rFonts w:hint="eastAsia" w:asciiTheme="minorEastAsia" w:hAnsiTheme="minorEastAsia" w:eastAsiaTheme="minorEastAsia"/>
          <w:sz w:val="32"/>
          <w:szCs w:val="32"/>
        </w:rPr>
        <w:t>人次</w:t>
      </w:r>
      <w:r>
        <w:rPr>
          <w:rFonts w:hint="eastAsia" w:asciiTheme="minorEastAsia" w:hAnsiTheme="minorEastAsia" w:eastAsiaTheme="minorEastAsia"/>
          <w:sz w:val="32"/>
          <w:szCs w:val="32"/>
          <w:lang w:eastAsia="zh-CN"/>
        </w:rPr>
        <w:t>。</w:t>
      </w:r>
    </w:p>
    <w:p>
      <w:pPr>
        <w:pStyle w:val="12"/>
        <w:keepNext w:val="0"/>
        <w:keepLines w:val="0"/>
        <w:pageBreakBefore w:val="0"/>
        <w:kinsoku/>
        <w:wordWrap/>
        <w:overflowPunct/>
        <w:topLinePunct w:val="0"/>
        <w:bidi w:val="0"/>
        <w:spacing w:line="600" w:lineRule="exact"/>
        <w:ind w:firstLine="640" w:firstLineChars="200"/>
        <w:textAlignment w:val="auto"/>
        <w:rPr>
          <w:rFonts w:asciiTheme="minorEastAsia" w:hAnsiTheme="minorEastAsia" w:eastAsiaTheme="minorEastAsia"/>
          <w:sz w:val="32"/>
          <w:szCs w:val="32"/>
        </w:rPr>
      </w:pPr>
      <w:r>
        <w:rPr>
          <w:rFonts w:hint="eastAsia" w:asciiTheme="minorEastAsia" w:hAnsiTheme="minorEastAsia" w:eastAsiaTheme="minorEastAsia"/>
          <w:sz w:val="32"/>
          <w:szCs w:val="32"/>
        </w:rPr>
        <w:t>2、公务接待费支出决算为</w:t>
      </w:r>
      <w:r>
        <w:rPr>
          <w:rFonts w:hint="eastAsia" w:asciiTheme="minorEastAsia" w:hAnsiTheme="minorEastAsia" w:eastAsiaTheme="minorEastAsia"/>
          <w:sz w:val="32"/>
          <w:szCs w:val="32"/>
          <w:lang w:val="en-US" w:eastAsia="zh-CN"/>
        </w:rPr>
        <w:t>0.57</w:t>
      </w:r>
      <w:r>
        <w:rPr>
          <w:rFonts w:hint="eastAsia" w:asciiTheme="minorEastAsia" w:hAnsiTheme="minorEastAsia" w:eastAsiaTheme="minorEastAsia"/>
          <w:sz w:val="32"/>
          <w:szCs w:val="32"/>
        </w:rPr>
        <w:t>万元，全年共接待来访团组</w:t>
      </w:r>
      <w:r>
        <w:rPr>
          <w:rFonts w:hint="eastAsia" w:asciiTheme="minorEastAsia" w:hAnsiTheme="minorEastAsia" w:eastAsiaTheme="minorEastAsia"/>
          <w:sz w:val="32"/>
          <w:szCs w:val="32"/>
          <w:lang w:val="en-US" w:eastAsia="zh-CN"/>
        </w:rPr>
        <w:t>8</w:t>
      </w:r>
      <w:r>
        <w:rPr>
          <w:rFonts w:hint="eastAsia" w:asciiTheme="minorEastAsia" w:hAnsiTheme="minorEastAsia" w:eastAsiaTheme="minorEastAsia"/>
          <w:sz w:val="32"/>
          <w:szCs w:val="32"/>
        </w:rPr>
        <w:t>个、来宾</w:t>
      </w:r>
      <w:r>
        <w:rPr>
          <w:rFonts w:hint="eastAsia" w:asciiTheme="minorEastAsia" w:hAnsiTheme="minorEastAsia" w:eastAsiaTheme="minorEastAsia"/>
          <w:sz w:val="32"/>
          <w:szCs w:val="32"/>
          <w:lang w:val="en-US" w:eastAsia="zh-CN"/>
        </w:rPr>
        <w:t>80</w:t>
      </w:r>
      <w:r>
        <w:rPr>
          <w:rFonts w:hint="eastAsia" w:asciiTheme="minorEastAsia" w:hAnsiTheme="minorEastAsia" w:eastAsiaTheme="minorEastAsia"/>
          <w:sz w:val="32"/>
          <w:szCs w:val="32"/>
        </w:rPr>
        <w:t>人次，主要是</w:t>
      </w:r>
      <w:r>
        <w:rPr>
          <w:rFonts w:hint="eastAsia" w:asciiTheme="minorEastAsia" w:hAnsiTheme="minorEastAsia" w:eastAsiaTheme="minorEastAsia"/>
          <w:sz w:val="32"/>
          <w:szCs w:val="32"/>
          <w:lang w:eastAsia="zh-CN"/>
        </w:rPr>
        <w:t>其他市州文联、县区文联来调研及采风活动</w:t>
      </w:r>
      <w:r>
        <w:rPr>
          <w:rFonts w:hint="eastAsia" w:asciiTheme="minorEastAsia" w:hAnsiTheme="minorEastAsia" w:eastAsiaTheme="minorEastAsia"/>
          <w:sz w:val="32"/>
          <w:szCs w:val="32"/>
        </w:rPr>
        <w:t>发生的接待支出。</w:t>
      </w:r>
    </w:p>
    <w:p>
      <w:pPr>
        <w:keepNext w:val="0"/>
        <w:keepLines w:val="0"/>
        <w:pageBreakBefore w:val="0"/>
        <w:kinsoku/>
        <w:wordWrap/>
        <w:overflowPunct/>
        <w:topLinePunct w:val="0"/>
        <w:bidi w:val="0"/>
        <w:spacing w:line="600" w:lineRule="exact"/>
        <w:ind w:firstLine="640" w:firstLineChars="200"/>
        <w:textAlignment w:val="auto"/>
        <w:rPr>
          <w:rFonts w:hint="eastAsia" w:eastAsia="宋体" w:cs="黑体" w:asciiTheme="minorEastAsia" w:hAnsiTheme="minorEastAsia"/>
          <w:color w:val="000000"/>
          <w:kern w:val="0"/>
          <w:sz w:val="32"/>
          <w:szCs w:val="32"/>
          <w:lang w:eastAsia="zh-CN"/>
        </w:rPr>
      </w:pPr>
      <w:r>
        <w:rPr>
          <w:rFonts w:hint="eastAsia" w:asciiTheme="minorEastAsia" w:hAnsiTheme="minorEastAsia"/>
          <w:sz w:val="32"/>
          <w:szCs w:val="32"/>
        </w:rPr>
        <w:t>3、公务用车购置费及运行维护费支出决算为</w:t>
      </w:r>
      <w:r>
        <w:rPr>
          <w:rFonts w:hint="eastAsia" w:asciiTheme="minorEastAsia" w:hAnsiTheme="minorEastAsia"/>
          <w:sz w:val="32"/>
          <w:szCs w:val="32"/>
          <w:lang w:val="en-US" w:eastAsia="zh-CN"/>
        </w:rPr>
        <w:t>2.98</w:t>
      </w:r>
      <w:r>
        <w:rPr>
          <w:rFonts w:hint="eastAsia" w:asciiTheme="minorEastAsia" w:hAnsiTheme="minorEastAsia"/>
          <w:sz w:val="32"/>
          <w:szCs w:val="32"/>
        </w:rPr>
        <w:t>万元，其中：公务用车购置费</w:t>
      </w:r>
      <w:r>
        <w:rPr>
          <w:rFonts w:hint="eastAsia" w:asciiTheme="minorEastAsia" w:hAnsiTheme="minorEastAsia"/>
          <w:sz w:val="32"/>
          <w:szCs w:val="32"/>
          <w:lang w:val="en-US" w:eastAsia="zh-CN"/>
        </w:rPr>
        <w:t>0</w:t>
      </w:r>
      <w:r>
        <w:rPr>
          <w:rFonts w:hint="eastAsia" w:asciiTheme="minorEastAsia" w:hAnsiTheme="minorEastAsia"/>
          <w:sz w:val="32"/>
          <w:szCs w:val="32"/>
        </w:rPr>
        <w:t>万元，公务用车运行维护费</w:t>
      </w:r>
      <w:r>
        <w:rPr>
          <w:rFonts w:hint="eastAsia" w:asciiTheme="minorEastAsia" w:hAnsiTheme="minorEastAsia"/>
          <w:sz w:val="32"/>
          <w:szCs w:val="32"/>
          <w:lang w:val="en-US" w:eastAsia="zh-CN"/>
        </w:rPr>
        <w:t>2.98</w:t>
      </w:r>
      <w:r>
        <w:rPr>
          <w:rFonts w:hint="eastAsia" w:asciiTheme="minorEastAsia" w:hAnsiTheme="minorEastAsia"/>
          <w:sz w:val="32"/>
          <w:szCs w:val="32"/>
        </w:rPr>
        <w:t>万元，主要是</w:t>
      </w:r>
      <w:r>
        <w:rPr>
          <w:rFonts w:hint="eastAsia" w:asciiTheme="minorEastAsia" w:hAnsiTheme="minorEastAsia"/>
          <w:sz w:val="32"/>
          <w:szCs w:val="32"/>
          <w:lang w:eastAsia="zh-CN"/>
        </w:rPr>
        <w:t>用于文件传递、市内用公出行及车辆的燃料费、维修费、保险费等</w:t>
      </w:r>
      <w:r>
        <w:rPr>
          <w:rFonts w:hint="eastAsia" w:asciiTheme="minorEastAsia" w:hAnsiTheme="minorEastAsia"/>
          <w:sz w:val="32"/>
          <w:szCs w:val="32"/>
        </w:rPr>
        <w:t>支出，截止201</w:t>
      </w:r>
      <w:r>
        <w:rPr>
          <w:rFonts w:hint="eastAsia" w:asciiTheme="minorEastAsia" w:hAnsiTheme="minorEastAsia"/>
          <w:sz w:val="32"/>
          <w:szCs w:val="32"/>
          <w:lang w:val="en-US" w:eastAsia="zh-CN"/>
        </w:rPr>
        <w:t>8</w:t>
      </w:r>
      <w:r>
        <w:rPr>
          <w:rFonts w:hint="eastAsia" w:asciiTheme="minorEastAsia" w:hAnsiTheme="minorEastAsia"/>
          <w:sz w:val="32"/>
          <w:szCs w:val="32"/>
        </w:rPr>
        <w:t>年12月31日，我单位开支财政拨款的公务用车保有量为</w:t>
      </w:r>
      <w:r>
        <w:rPr>
          <w:rFonts w:hint="eastAsia" w:asciiTheme="minorEastAsia" w:hAnsiTheme="minorEastAsia"/>
          <w:sz w:val="32"/>
          <w:szCs w:val="32"/>
          <w:lang w:val="en-US" w:eastAsia="zh-CN"/>
        </w:rPr>
        <w:t>1</w:t>
      </w:r>
      <w:r>
        <w:rPr>
          <w:rFonts w:hint="eastAsia" w:asciiTheme="minorEastAsia" w:hAnsiTheme="minorEastAsia"/>
          <w:sz w:val="32"/>
          <w:szCs w:val="32"/>
        </w:rPr>
        <w:t>辆。</w:t>
      </w:r>
    </w:p>
    <w:p>
      <w:pPr>
        <w:pStyle w:val="12"/>
        <w:keepNext w:val="0"/>
        <w:keepLines w:val="0"/>
        <w:pageBreakBefore w:val="0"/>
        <w:kinsoku/>
        <w:wordWrap/>
        <w:overflowPunct/>
        <w:topLinePunct w:val="0"/>
        <w:bidi w:val="0"/>
        <w:spacing w:line="600" w:lineRule="exact"/>
        <w:ind w:firstLine="643" w:firstLineChars="200"/>
        <w:textAlignment w:val="auto"/>
        <w:rPr>
          <w:rFonts w:hAnsi="黑体"/>
          <w:b/>
          <w:sz w:val="32"/>
          <w:szCs w:val="32"/>
        </w:rPr>
      </w:pPr>
      <w:r>
        <w:rPr>
          <w:rFonts w:hint="eastAsia" w:hAnsi="黑体"/>
          <w:b/>
          <w:sz w:val="32"/>
          <w:szCs w:val="32"/>
        </w:rPr>
        <w:t>八、政府性基金预算收入支出决算情况</w:t>
      </w:r>
    </w:p>
    <w:p>
      <w:pPr>
        <w:pStyle w:val="12"/>
        <w:keepNext w:val="0"/>
        <w:keepLines w:val="0"/>
        <w:pageBreakBefore w:val="0"/>
        <w:kinsoku/>
        <w:wordWrap/>
        <w:overflowPunct/>
        <w:topLinePunct w:val="0"/>
        <w:bidi w:val="0"/>
        <w:spacing w:line="600" w:lineRule="exact"/>
        <w:ind w:firstLine="640"/>
        <w:textAlignment w:val="auto"/>
        <w:rPr>
          <w:rFonts w:hint="eastAsia" w:eastAsia="宋体" w:cs="Times New Roman" w:asciiTheme="minorEastAsia" w:hAnsiTheme="minorEastAsia"/>
          <w:color w:val="000000" w:themeColor="text1"/>
          <w:kern w:val="2"/>
          <w:sz w:val="32"/>
          <w:szCs w:val="32"/>
          <w:lang w:val="en-US" w:eastAsia="zh-CN" w:bidi="ar-SA"/>
          <w14:textFill>
            <w14:solidFill>
              <w14:schemeClr w14:val="tx1"/>
            </w14:solidFill>
          </w14:textFill>
        </w:rPr>
      </w:pPr>
      <w:r>
        <w:rPr>
          <w:rFonts w:hint="eastAsia" w:eastAsia="宋体" w:cs="Times New Roman" w:asciiTheme="minorEastAsia" w:hAnsiTheme="minorEastAsia"/>
          <w:color w:val="000000" w:themeColor="text1"/>
          <w:kern w:val="2"/>
          <w:sz w:val="32"/>
          <w:szCs w:val="32"/>
          <w:lang w:val="en-US" w:eastAsia="zh-CN" w:bidi="ar-SA"/>
          <w14:textFill>
            <w14:solidFill>
              <w14:schemeClr w14:val="tx1"/>
            </w14:solidFill>
          </w14:textFill>
        </w:rPr>
        <w:t>本单位无政府性基金收支。</w:t>
      </w:r>
    </w:p>
    <w:p>
      <w:pPr>
        <w:pStyle w:val="12"/>
        <w:keepNext w:val="0"/>
        <w:keepLines w:val="0"/>
        <w:pageBreakBefore w:val="0"/>
        <w:kinsoku/>
        <w:wordWrap/>
        <w:overflowPunct/>
        <w:topLinePunct w:val="0"/>
        <w:bidi w:val="0"/>
        <w:spacing w:line="600" w:lineRule="exact"/>
        <w:ind w:firstLine="640"/>
        <w:textAlignment w:val="auto"/>
        <w:rPr>
          <w:rFonts w:hAnsi="黑体"/>
          <w:b/>
          <w:color w:val="auto"/>
          <w:sz w:val="32"/>
          <w:szCs w:val="32"/>
        </w:rPr>
      </w:pPr>
      <w:r>
        <w:rPr>
          <w:rFonts w:hint="eastAsia" w:hAnsi="黑体"/>
          <w:b/>
          <w:color w:val="auto"/>
          <w:sz w:val="32"/>
          <w:szCs w:val="32"/>
        </w:rPr>
        <w:t>九、</w:t>
      </w:r>
      <w:r>
        <w:rPr>
          <w:rFonts w:hint="eastAsia" w:hAnsi="黑体"/>
          <w:b/>
          <w:color w:val="auto"/>
          <w:sz w:val="32"/>
          <w:szCs w:val="32"/>
          <w:lang w:eastAsia="zh-CN"/>
        </w:rPr>
        <w:t>重点项目预算的绩效目标等</w:t>
      </w:r>
      <w:r>
        <w:rPr>
          <w:rFonts w:hint="eastAsia" w:hAnsi="黑体"/>
          <w:b/>
          <w:color w:val="auto"/>
          <w:sz w:val="32"/>
          <w:szCs w:val="32"/>
        </w:rPr>
        <w:t>201</w:t>
      </w:r>
      <w:r>
        <w:rPr>
          <w:rFonts w:hint="eastAsia" w:hAnsi="黑体"/>
          <w:b/>
          <w:color w:val="auto"/>
          <w:sz w:val="32"/>
          <w:szCs w:val="32"/>
          <w:lang w:val="en-US" w:eastAsia="zh-CN"/>
        </w:rPr>
        <w:t>8</w:t>
      </w:r>
      <w:r>
        <w:rPr>
          <w:rFonts w:hint="eastAsia" w:hAnsi="黑体"/>
          <w:b/>
          <w:color w:val="auto"/>
          <w:sz w:val="32"/>
          <w:szCs w:val="32"/>
        </w:rPr>
        <w:t>年度预算绩效情况说明</w:t>
      </w:r>
    </w:p>
    <w:p>
      <w:pPr>
        <w:pStyle w:val="12"/>
        <w:keepNext w:val="0"/>
        <w:keepLines w:val="0"/>
        <w:pageBreakBefore w:val="0"/>
        <w:kinsoku/>
        <w:wordWrap/>
        <w:overflowPunct/>
        <w:topLinePunct w:val="0"/>
        <w:bidi w:val="0"/>
        <w:spacing w:line="600" w:lineRule="exact"/>
        <w:ind w:firstLine="640" w:firstLineChars="200"/>
        <w:textAlignment w:val="auto"/>
        <w:rPr>
          <w:rFonts w:hint="eastAsia" w:asciiTheme="minorEastAsia" w:hAnsiTheme="minorEastAsia" w:eastAsiaTheme="minorEastAsia"/>
          <w:color w:val="auto"/>
          <w:sz w:val="32"/>
          <w:szCs w:val="32"/>
          <w:lang w:eastAsia="zh-CN"/>
        </w:rPr>
      </w:pPr>
      <w:r>
        <w:rPr>
          <w:rFonts w:hint="eastAsia" w:asciiTheme="minorEastAsia" w:hAnsiTheme="minorEastAsia" w:eastAsiaTheme="minorEastAsia"/>
          <w:color w:val="auto"/>
          <w:sz w:val="32"/>
          <w:szCs w:val="32"/>
        </w:rPr>
        <w:t>本部门预算绩效管理开展情况、绩效目标和绩效评价报告等</w:t>
      </w:r>
      <w:r>
        <w:rPr>
          <w:rFonts w:hint="eastAsia" w:asciiTheme="minorEastAsia" w:hAnsiTheme="minorEastAsia" w:eastAsiaTheme="minorEastAsia"/>
          <w:color w:val="auto"/>
          <w:sz w:val="32"/>
          <w:szCs w:val="32"/>
          <w:lang w:eastAsia="zh-CN"/>
        </w:rPr>
        <w:t>，</w:t>
      </w:r>
      <w:r>
        <w:rPr>
          <w:rFonts w:hint="eastAsia" w:asciiTheme="minorEastAsia" w:hAnsiTheme="minorEastAsia" w:eastAsiaTheme="minorEastAsia"/>
          <w:color w:val="auto"/>
          <w:sz w:val="32"/>
          <w:szCs w:val="32"/>
        </w:rPr>
        <w:t>按照财政绩效部门要求已公开或其他有关部门要求需随同部门决算一同公开的绩效信息，</w:t>
      </w:r>
      <w:r>
        <w:rPr>
          <w:rFonts w:hint="eastAsia" w:asciiTheme="minorEastAsia" w:hAnsiTheme="minorEastAsia" w:eastAsiaTheme="minorEastAsia"/>
          <w:color w:val="auto"/>
          <w:sz w:val="32"/>
          <w:szCs w:val="32"/>
          <w:lang w:eastAsia="zh-CN"/>
        </w:rPr>
        <w:t>已</w:t>
      </w:r>
      <w:r>
        <w:rPr>
          <w:rFonts w:hint="eastAsia" w:asciiTheme="minorEastAsia" w:hAnsiTheme="minorEastAsia" w:eastAsiaTheme="minorEastAsia"/>
          <w:color w:val="auto"/>
          <w:sz w:val="32"/>
          <w:szCs w:val="32"/>
        </w:rPr>
        <w:t>作为附件公开</w:t>
      </w:r>
      <w:r>
        <w:rPr>
          <w:rFonts w:hint="eastAsia" w:asciiTheme="minorEastAsia" w:hAnsiTheme="minorEastAsia" w:eastAsiaTheme="minorEastAsia"/>
          <w:color w:val="auto"/>
          <w:sz w:val="32"/>
          <w:szCs w:val="32"/>
          <w:lang w:eastAsia="zh-CN"/>
        </w:rPr>
        <w:t>。</w:t>
      </w:r>
    </w:p>
    <w:p>
      <w:pPr>
        <w:pStyle w:val="12"/>
        <w:keepNext w:val="0"/>
        <w:keepLines w:val="0"/>
        <w:pageBreakBefore w:val="0"/>
        <w:kinsoku/>
        <w:wordWrap/>
        <w:overflowPunct/>
        <w:topLinePunct w:val="0"/>
        <w:bidi w:val="0"/>
        <w:spacing w:line="600" w:lineRule="exact"/>
        <w:ind w:firstLine="643" w:firstLineChars="200"/>
        <w:textAlignment w:val="auto"/>
        <w:rPr>
          <w:rFonts w:hAnsi="黑体"/>
          <w:b/>
          <w:sz w:val="32"/>
          <w:szCs w:val="32"/>
        </w:rPr>
      </w:pPr>
      <w:r>
        <w:rPr>
          <w:rFonts w:hint="eastAsia" w:hAnsi="黑体"/>
          <w:b/>
          <w:sz w:val="32"/>
          <w:szCs w:val="32"/>
        </w:rPr>
        <w:t>十、其他重要事项情况说明</w:t>
      </w:r>
    </w:p>
    <w:p>
      <w:pPr>
        <w:keepNext w:val="0"/>
        <w:keepLines w:val="0"/>
        <w:pageBreakBefore w:val="0"/>
        <w:kinsoku/>
        <w:wordWrap/>
        <w:overflowPunct/>
        <w:topLinePunct w:val="0"/>
        <w:bidi w:val="0"/>
        <w:spacing w:line="600" w:lineRule="exact"/>
        <w:ind w:firstLine="643" w:firstLineChars="200"/>
        <w:textAlignment w:val="auto"/>
        <w:rPr>
          <w:rFonts w:cs="黑体" w:asciiTheme="minorEastAsia" w:hAnsiTheme="minorEastAsia"/>
          <w:b/>
          <w:color w:val="000000"/>
          <w:kern w:val="0"/>
          <w:sz w:val="32"/>
          <w:szCs w:val="32"/>
        </w:rPr>
      </w:pPr>
      <w:r>
        <w:rPr>
          <w:rFonts w:hint="eastAsia" w:cs="黑体" w:asciiTheme="minorEastAsia" w:hAnsiTheme="minorEastAsia"/>
          <w:b/>
          <w:color w:val="000000"/>
          <w:kern w:val="0"/>
          <w:sz w:val="32"/>
          <w:szCs w:val="32"/>
        </w:rPr>
        <w:t>（一）机关运行经费支出情况</w:t>
      </w:r>
    </w:p>
    <w:p>
      <w:pPr>
        <w:keepNext w:val="0"/>
        <w:keepLines w:val="0"/>
        <w:pageBreakBefore w:val="0"/>
        <w:kinsoku/>
        <w:wordWrap/>
        <w:overflowPunct/>
        <w:topLinePunct w:val="0"/>
        <w:bidi w:val="0"/>
        <w:spacing w:line="600" w:lineRule="exact"/>
        <w:ind w:firstLine="640" w:firstLineChars="200"/>
        <w:textAlignment w:val="auto"/>
        <w:rPr>
          <w:rFonts w:hint="eastAsia" w:eastAsia="宋体" w:cs="黑体" w:asciiTheme="minorEastAsia" w:hAnsiTheme="minorEastAsia"/>
          <w:color w:val="000000"/>
          <w:kern w:val="0"/>
          <w:sz w:val="32"/>
          <w:szCs w:val="32"/>
          <w:lang w:eastAsia="zh-CN"/>
        </w:rPr>
      </w:pPr>
      <w:r>
        <w:rPr>
          <w:rFonts w:hint="eastAsia" w:cs="黑体" w:asciiTheme="minorEastAsia" w:hAnsiTheme="minorEastAsia"/>
          <w:color w:val="000000"/>
          <w:kern w:val="0"/>
          <w:sz w:val="32"/>
          <w:szCs w:val="32"/>
        </w:rPr>
        <w:t>本部门201</w:t>
      </w:r>
      <w:r>
        <w:rPr>
          <w:rFonts w:hint="eastAsia" w:cs="黑体" w:asciiTheme="minorEastAsia" w:hAnsiTheme="minorEastAsia"/>
          <w:color w:val="000000"/>
          <w:kern w:val="0"/>
          <w:sz w:val="32"/>
          <w:szCs w:val="32"/>
          <w:lang w:val="en-US" w:eastAsia="zh-CN"/>
        </w:rPr>
        <w:t>8</w:t>
      </w:r>
      <w:r>
        <w:rPr>
          <w:rFonts w:hint="eastAsia" w:cs="黑体" w:asciiTheme="minorEastAsia" w:hAnsiTheme="minorEastAsia"/>
          <w:color w:val="000000"/>
          <w:kern w:val="0"/>
          <w:sz w:val="32"/>
          <w:szCs w:val="32"/>
        </w:rPr>
        <w:t xml:space="preserve"> 年度机关运行经费支出</w:t>
      </w:r>
      <w:r>
        <w:rPr>
          <w:rFonts w:hint="eastAsia" w:cs="黑体" w:asciiTheme="minorEastAsia" w:hAnsiTheme="minorEastAsia"/>
          <w:color w:val="000000"/>
          <w:kern w:val="0"/>
          <w:sz w:val="32"/>
          <w:szCs w:val="32"/>
          <w:lang w:val="en-US" w:eastAsia="zh-CN"/>
        </w:rPr>
        <w:t>21</w:t>
      </w:r>
      <w:r>
        <w:rPr>
          <w:rFonts w:hint="eastAsia" w:cs="黑体" w:asciiTheme="minorEastAsia" w:hAnsiTheme="minorEastAsia"/>
          <w:color w:val="000000"/>
          <w:kern w:val="0"/>
          <w:sz w:val="32"/>
          <w:szCs w:val="32"/>
        </w:rPr>
        <w:t>万元，比年初预算数增加</w:t>
      </w:r>
      <w:r>
        <w:rPr>
          <w:rFonts w:hint="eastAsia" w:cs="黑体" w:asciiTheme="minorEastAsia" w:hAnsiTheme="minorEastAsia"/>
          <w:color w:val="000000"/>
          <w:kern w:val="0"/>
          <w:sz w:val="32"/>
          <w:szCs w:val="32"/>
          <w:lang w:val="en-US" w:eastAsia="zh-CN"/>
        </w:rPr>
        <w:t>1.36</w:t>
      </w:r>
      <w:r>
        <w:rPr>
          <w:rFonts w:hint="eastAsia" w:cs="黑体" w:asciiTheme="minorEastAsia" w:hAnsiTheme="minorEastAsia"/>
          <w:color w:val="000000"/>
          <w:kern w:val="0"/>
          <w:sz w:val="32"/>
          <w:szCs w:val="32"/>
        </w:rPr>
        <w:t>万元，增长</w:t>
      </w:r>
      <w:r>
        <w:rPr>
          <w:rFonts w:hint="eastAsia" w:cs="黑体" w:asciiTheme="minorEastAsia" w:hAnsiTheme="minorEastAsia"/>
          <w:color w:val="000000"/>
          <w:kern w:val="0"/>
          <w:sz w:val="32"/>
          <w:szCs w:val="32"/>
          <w:lang w:val="en-US" w:eastAsia="zh-CN"/>
        </w:rPr>
        <w:t>0.7</w:t>
      </w:r>
      <w:r>
        <w:rPr>
          <w:rFonts w:hint="eastAsia" w:cs="黑体" w:asciiTheme="minorEastAsia" w:hAnsiTheme="minorEastAsia"/>
          <w:color w:val="000000"/>
          <w:kern w:val="0"/>
          <w:sz w:val="32"/>
          <w:szCs w:val="32"/>
        </w:rPr>
        <w:t>%。主要原因是：</w:t>
      </w:r>
      <w:r>
        <w:rPr>
          <w:rFonts w:hint="eastAsia" w:cs="黑体" w:asciiTheme="minorEastAsia" w:hAnsiTheme="minorEastAsia"/>
          <w:color w:val="000000"/>
          <w:kern w:val="0"/>
          <w:sz w:val="32"/>
          <w:szCs w:val="32"/>
          <w:lang w:eastAsia="zh-CN"/>
        </w:rPr>
        <w:t>单位人员去外地出差产生的差旅费增加导致的。</w:t>
      </w:r>
    </w:p>
    <w:p>
      <w:pPr>
        <w:keepNext w:val="0"/>
        <w:keepLines w:val="0"/>
        <w:pageBreakBefore w:val="0"/>
        <w:kinsoku/>
        <w:wordWrap/>
        <w:overflowPunct/>
        <w:topLinePunct w:val="0"/>
        <w:bidi w:val="0"/>
        <w:spacing w:line="600" w:lineRule="exact"/>
        <w:ind w:firstLine="643" w:firstLineChars="200"/>
        <w:textAlignment w:val="auto"/>
        <w:rPr>
          <w:rFonts w:hint="eastAsia" w:cs="黑体" w:asciiTheme="minorEastAsia" w:hAnsiTheme="minorEastAsia"/>
          <w:b/>
          <w:color w:val="000000"/>
          <w:kern w:val="0"/>
          <w:sz w:val="32"/>
          <w:szCs w:val="32"/>
        </w:rPr>
      </w:pPr>
      <w:r>
        <w:rPr>
          <w:rFonts w:hint="eastAsia" w:cs="黑体" w:asciiTheme="minorEastAsia" w:hAnsiTheme="minorEastAsia"/>
          <w:b/>
          <w:color w:val="000000"/>
          <w:kern w:val="0"/>
          <w:sz w:val="32"/>
          <w:szCs w:val="32"/>
        </w:rPr>
        <w:t>（二）一般性支出情况</w:t>
      </w:r>
    </w:p>
    <w:p>
      <w:pPr>
        <w:keepNext w:val="0"/>
        <w:keepLines w:val="0"/>
        <w:pageBreakBefore w:val="0"/>
        <w:kinsoku/>
        <w:wordWrap/>
        <w:overflowPunct/>
        <w:topLinePunct w:val="0"/>
        <w:bidi w:val="0"/>
        <w:spacing w:line="600" w:lineRule="exact"/>
        <w:ind w:firstLine="640" w:firstLineChars="200"/>
        <w:textAlignment w:val="auto"/>
        <w:rPr>
          <w:rFonts w:hint="eastAsia" w:eastAsia="宋体" w:cs="黑体" w:asciiTheme="minorEastAsia" w:hAnsiTheme="minorEastAsia"/>
          <w:color w:val="000000"/>
          <w:kern w:val="0"/>
          <w:sz w:val="32"/>
          <w:szCs w:val="32"/>
          <w:lang w:eastAsia="zh-CN"/>
        </w:rPr>
      </w:pPr>
      <w:r>
        <w:rPr>
          <w:rFonts w:hint="eastAsia" w:cs="黑体" w:asciiTheme="minorEastAsia" w:hAnsiTheme="minorEastAsia"/>
          <w:color w:val="000000"/>
          <w:kern w:val="0"/>
          <w:sz w:val="32"/>
          <w:szCs w:val="32"/>
        </w:rPr>
        <w:t>201</w:t>
      </w:r>
      <w:r>
        <w:rPr>
          <w:rFonts w:hint="eastAsia" w:cs="黑体" w:asciiTheme="minorEastAsia" w:hAnsiTheme="minorEastAsia"/>
          <w:color w:val="000000"/>
          <w:kern w:val="0"/>
          <w:sz w:val="32"/>
          <w:szCs w:val="32"/>
          <w:lang w:val="en-US" w:eastAsia="zh-CN"/>
        </w:rPr>
        <w:t>8</w:t>
      </w:r>
      <w:r>
        <w:rPr>
          <w:rFonts w:hint="eastAsia" w:cs="黑体" w:asciiTheme="minorEastAsia" w:hAnsiTheme="minorEastAsia"/>
          <w:color w:val="000000"/>
          <w:kern w:val="0"/>
          <w:sz w:val="32"/>
          <w:szCs w:val="32"/>
        </w:rPr>
        <w:t>年本部门开支会议费</w:t>
      </w:r>
      <w:r>
        <w:rPr>
          <w:rFonts w:hint="eastAsia" w:cs="黑体" w:asciiTheme="minorEastAsia" w:hAnsiTheme="minorEastAsia"/>
          <w:color w:val="000000"/>
          <w:kern w:val="0"/>
          <w:sz w:val="32"/>
          <w:szCs w:val="32"/>
          <w:lang w:val="en-US" w:eastAsia="zh-CN"/>
        </w:rPr>
        <w:t>0</w:t>
      </w:r>
      <w:r>
        <w:rPr>
          <w:rFonts w:hint="eastAsia" w:cs="黑体" w:asciiTheme="minorEastAsia" w:hAnsiTheme="minorEastAsia"/>
          <w:color w:val="000000"/>
          <w:kern w:val="0"/>
          <w:sz w:val="32"/>
          <w:szCs w:val="32"/>
        </w:rPr>
        <w:t>万元，开支培训费</w:t>
      </w:r>
      <w:r>
        <w:rPr>
          <w:rFonts w:hint="eastAsia" w:cs="黑体" w:asciiTheme="minorEastAsia" w:hAnsiTheme="minorEastAsia"/>
          <w:color w:val="000000"/>
          <w:kern w:val="0"/>
          <w:sz w:val="32"/>
          <w:szCs w:val="32"/>
          <w:lang w:val="en-US" w:eastAsia="zh-CN"/>
        </w:rPr>
        <w:t>0</w:t>
      </w:r>
      <w:r>
        <w:rPr>
          <w:rFonts w:hint="eastAsia" w:cs="黑体" w:asciiTheme="minorEastAsia" w:hAnsiTheme="minorEastAsia"/>
          <w:color w:val="000000"/>
          <w:kern w:val="0"/>
          <w:sz w:val="32"/>
          <w:szCs w:val="32"/>
        </w:rPr>
        <w:t>万元</w:t>
      </w:r>
      <w:r>
        <w:rPr>
          <w:rFonts w:hint="eastAsia" w:cs="黑体" w:asciiTheme="minorEastAsia" w:hAnsiTheme="minorEastAsia"/>
          <w:color w:val="000000"/>
          <w:kern w:val="0"/>
          <w:sz w:val="32"/>
          <w:szCs w:val="32"/>
          <w:lang w:eastAsia="zh-CN"/>
        </w:rPr>
        <w:t>。</w:t>
      </w:r>
    </w:p>
    <w:p>
      <w:pPr>
        <w:keepNext w:val="0"/>
        <w:keepLines w:val="0"/>
        <w:pageBreakBefore w:val="0"/>
        <w:kinsoku/>
        <w:wordWrap/>
        <w:overflowPunct/>
        <w:topLinePunct w:val="0"/>
        <w:bidi w:val="0"/>
        <w:spacing w:line="600" w:lineRule="exact"/>
        <w:ind w:firstLine="643" w:firstLineChars="200"/>
        <w:textAlignment w:val="auto"/>
        <w:rPr>
          <w:rFonts w:cs="黑体" w:asciiTheme="minorEastAsia" w:hAnsiTheme="minorEastAsia"/>
          <w:b/>
          <w:color w:val="000000"/>
          <w:kern w:val="0"/>
          <w:sz w:val="32"/>
          <w:szCs w:val="32"/>
        </w:rPr>
      </w:pPr>
      <w:r>
        <w:rPr>
          <w:rFonts w:hint="eastAsia" w:cs="黑体" w:asciiTheme="minorEastAsia" w:hAnsiTheme="minorEastAsia"/>
          <w:b/>
          <w:color w:val="000000"/>
          <w:kern w:val="0"/>
          <w:sz w:val="32"/>
          <w:szCs w:val="32"/>
        </w:rPr>
        <w:t>（三）政府采购支出情况</w:t>
      </w:r>
    </w:p>
    <w:p>
      <w:pPr>
        <w:keepNext w:val="0"/>
        <w:keepLines w:val="0"/>
        <w:pageBreakBefore w:val="0"/>
        <w:kinsoku/>
        <w:wordWrap/>
        <w:overflowPunct/>
        <w:topLinePunct w:val="0"/>
        <w:bidi w:val="0"/>
        <w:spacing w:line="600" w:lineRule="exact"/>
        <w:ind w:firstLine="640" w:firstLineChars="200"/>
        <w:textAlignment w:val="auto"/>
        <w:rPr>
          <w:rFonts w:cs="黑体" w:asciiTheme="minorEastAsia" w:hAnsiTheme="minorEastAsia"/>
          <w:i/>
          <w:color w:val="FF0000"/>
          <w:kern w:val="0"/>
          <w:sz w:val="32"/>
          <w:szCs w:val="32"/>
        </w:rPr>
      </w:pPr>
      <w:r>
        <w:rPr>
          <w:rFonts w:hint="eastAsia" w:cs="黑体" w:asciiTheme="minorEastAsia" w:hAnsiTheme="minorEastAsia"/>
          <w:color w:val="000000"/>
          <w:kern w:val="0"/>
          <w:sz w:val="32"/>
          <w:szCs w:val="32"/>
        </w:rPr>
        <w:t>本部门201</w:t>
      </w:r>
      <w:r>
        <w:rPr>
          <w:rFonts w:hint="eastAsia" w:cs="黑体" w:asciiTheme="minorEastAsia" w:hAnsiTheme="minorEastAsia"/>
          <w:color w:val="000000"/>
          <w:kern w:val="0"/>
          <w:sz w:val="32"/>
          <w:szCs w:val="32"/>
          <w:lang w:val="en-US" w:eastAsia="zh-CN"/>
        </w:rPr>
        <w:t>8</w:t>
      </w:r>
      <w:r>
        <w:rPr>
          <w:rFonts w:hint="eastAsia" w:cs="黑体" w:asciiTheme="minorEastAsia" w:hAnsiTheme="minorEastAsia"/>
          <w:color w:val="000000"/>
          <w:kern w:val="0"/>
          <w:sz w:val="32"/>
          <w:szCs w:val="32"/>
        </w:rPr>
        <w:t>年度政府采购支出总额</w:t>
      </w:r>
      <w:r>
        <w:rPr>
          <w:rFonts w:hint="eastAsia" w:cs="黑体" w:asciiTheme="minorEastAsia" w:hAnsiTheme="minorEastAsia"/>
          <w:color w:val="000000"/>
          <w:kern w:val="0"/>
          <w:sz w:val="32"/>
          <w:szCs w:val="32"/>
          <w:lang w:val="en-US" w:eastAsia="zh-CN"/>
        </w:rPr>
        <w:t>5.8</w:t>
      </w:r>
      <w:r>
        <w:rPr>
          <w:rFonts w:hint="eastAsia" w:cs="黑体" w:asciiTheme="minorEastAsia" w:hAnsiTheme="minorEastAsia"/>
          <w:color w:val="000000"/>
          <w:kern w:val="0"/>
          <w:sz w:val="32"/>
          <w:szCs w:val="32"/>
        </w:rPr>
        <w:t>万元，其中：政府采购货物支出</w:t>
      </w:r>
      <w:r>
        <w:rPr>
          <w:rFonts w:hint="eastAsia" w:cs="黑体" w:asciiTheme="minorEastAsia" w:hAnsiTheme="minorEastAsia"/>
          <w:color w:val="000000"/>
          <w:kern w:val="0"/>
          <w:sz w:val="32"/>
          <w:szCs w:val="32"/>
          <w:lang w:val="en-US" w:eastAsia="zh-CN"/>
        </w:rPr>
        <w:t>5.8</w:t>
      </w:r>
      <w:r>
        <w:rPr>
          <w:rFonts w:hint="eastAsia" w:cs="黑体" w:asciiTheme="minorEastAsia" w:hAnsiTheme="minorEastAsia"/>
          <w:color w:val="000000"/>
          <w:kern w:val="0"/>
          <w:sz w:val="32"/>
          <w:szCs w:val="32"/>
        </w:rPr>
        <w:t>万元、政府采购工程支出</w:t>
      </w:r>
      <w:r>
        <w:rPr>
          <w:rFonts w:hint="eastAsia" w:cs="黑体" w:asciiTheme="minorEastAsia" w:hAnsiTheme="minorEastAsia"/>
          <w:color w:val="000000"/>
          <w:kern w:val="0"/>
          <w:sz w:val="32"/>
          <w:szCs w:val="32"/>
          <w:lang w:val="en-US" w:eastAsia="zh-CN"/>
        </w:rPr>
        <w:t>0</w:t>
      </w:r>
      <w:r>
        <w:rPr>
          <w:rFonts w:hint="eastAsia" w:cs="黑体" w:asciiTheme="minorEastAsia" w:hAnsiTheme="minorEastAsia"/>
          <w:color w:val="000000"/>
          <w:kern w:val="0"/>
          <w:sz w:val="32"/>
          <w:szCs w:val="32"/>
        </w:rPr>
        <w:t>万元、政府采购服务支出</w:t>
      </w:r>
      <w:r>
        <w:rPr>
          <w:rFonts w:hint="eastAsia" w:cs="黑体" w:asciiTheme="minorEastAsia" w:hAnsiTheme="minorEastAsia"/>
          <w:color w:val="000000"/>
          <w:kern w:val="0"/>
          <w:sz w:val="32"/>
          <w:szCs w:val="32"/>
          <w:lang w:val="en-US" w:eastAsia="zh-CN"/>
        </w:rPr>
        <w:t>0</w:t>
      </w:r>
      <w:r>
        <w:rPr>
          <w:rFonts w:hint="eastAsia" w:cs="黑体" w:asciiTheme="minorEastAsia" w:hAnsiTheme="minorEastAsia"/>
          <w:color w:val="000000"/>
          <w:kern w:val="0"/>
          <w:sz w:val="32"/>
          <w:szCs w:val="32"/>
        </w:rPr>
        <w:t>万元。授予中小企业合同金额</w:t>
      </w:r>
      <w:r>
        <w:rPr>
          <w:rFonts w:hint="eastAsia" w:cs="黑体" w:asciiTheme="minorEastAsia" w:hAnsiTheme="minorEastAsia"/>
          <w:color w:val="000000"/>
          <w:kern w:val="0"/>
          <w:sz w:val="32"/>
          <w:szCs w:val="32"/>
          <w:lang w:val="en-US" w:eastAsia="zh-CN"/>
        </w:rPr>
        <w:t>5.8</w:t>
      </w:r>
      <w:r>
        <w:rPr>
          <w:rFonts w:hint="eastAsia" w:cs="黑体" w:asciiTheme="minorEastAsia" w:hAnsiTheme="minorEastAsia"/>
          <w:color w:val="000000"/>
          <w:kern w:val="0"/>
          <w:sz w:val="32"/>
          <w:szCs w:val="32"/>
        </w:rPr>
        <w:t>万元，占政府采购支出总额的</w:t>
      </w:r>
      <w:r>
        <w:rPr>
          <w:rFonts w:hint="eastAsia" w:cs="黑体" w:asciiTheme="minorEastAsia" w:hAnsiTheme="minorEastAsia"/>
          <w:color w:val="000000"/>
          <w:kern w:val="0"/>
          <w:sz w:val="32"/>
          <w:szCs w:val="32"/>
          <w:lang w:val="en-US" w:eastAsia="zh-CN"/>
        </w:rPr>
        <w:t>100</w:t>
      </w:r>
      <w:r>
        <w:rPr>
          <w:rFonts w:hint="eastAsia" w:cs="黑体" w:asciiTheme="minorEastAsia" w:hAnsiTheme="minorEastAsia"/>
          <w:color w:val="000000"/>
          <w:kern w:val="0"/>
          <w:sz w:val="32"/>
          <w:szCs w:val="32"/>
        </w:rPr>
        <w:t>%，其中：授予小微企业合同金额</w:t>
      </w:r>
      <w:r>
        <w:rPr>
          <w:rFonts w:hint="eastAsia" w:cs="黑体" w:asciiTheme="minorEastAsia" w:hAnsiTheme="minorEastAsia"/>
          <w:color w:val="000000"/>
          <w:kern w:val="0"/>
          <w:sz w:val="32"/>
          <w:szCs w:val="32"/>
          <w:lang w:val="en-US" w:eastAsia="zh-CN"/>
        </w:rPr>
        <w:t>5.8</w:t>
      </w:r>
      <w:r>
        <w:rPr>
          <w:rFonts w:hint="eastAsia" w:cs="黑体" w:asciiTheme="minorEastAsia" w:hAnsiTheme="minorEastAsia"/>
          <w:color w:val="000000"/>
          <w:kern w:val="0"/>
          <w:sz w:val="32"/>
          <w:szCs w:val="32"/>
        </w:rPr>
        <w:t>万元，占政府采购支出总额的</w:t>
      </w:r>
      <w:r>
        <w:rPr>
          <w:rFonts w:hint="eastAsia" w:cs="黑体" w:asciiTheme="minorEastAsia" w:hAnsiTheme="minorEastAsia"/>
          <w:color w:val="000000"/>
          <w:kern w:val="0"/>
          <w:sz w:val="32"/>
          <w:szCs w:val="32"/>
          <w:lang w:val="en-US" w:eastAsia="zh-CN"/>
        </w:rPr>
        <w:t>100</w:t>
      </w:r>
      <w:r>
        <w:rPr>
          <w:rFonts w:hint="eastAsia" w:cs="黑体" w:asciiTheme="minorEastAsia" w:hAnsiTheme="minorEastAsia"/>
          <w:color w:val="000000"/>
          <w:kern w:val="0"/>
          <w:sz w:val="32"/>
          <w:szCs w:val="32"/>
        </w:rPr>
        <w:t>%。</w:t>
      </w:r>
    </w:p>
    <w:p>
      <w:pPr>
        <w:keepNext w:val="0"/>
        <w:keepLines w:val="0"/>
        <w:pageBreakBefore w:val="0"/>
        <w:kinsoku/>
        <w:wordWrap/>
        <w:overflowPunct/>
        <w:topLinePunct w:val="0"/>
        <w:bidi w:val="0"/>
        <w:spacing w:line="600" w:lineRule="exact"/>
        <w:ind w:firstLine="482" w:firstLineChars="150"/>
        <w:textAlignment w:val="auto"/>
        <w:rPr>
          <w:rFonts w:cs="黑体" w:asciiTheme="minorEastAsia" w:hAnsiTheme="minorEastAsia"/>
          <w:b/>
          <w:color w:val="000000"/>
          <w:kern w:val="0"/>
          <w:sz w:val="32"/>
          <w:szCs w:val="32"/>
        </w:rPr>
      </w:pPr>
      <w:r>
        <w:rPr>
          <w:rFonts w:hint="eastAsia" w:cs="黑体" w:asciiTheme="minorEastAsia" w:hAnsiTheme="minorEastAsia"/>
          <w:b/>
          <w:color w:val="000000"/>
          <w:kern w:val="0"/>
          <w:sz w:val="32"/>
          <w:szCs w:val="32"/>
        </w:rPr>
        <w:t>（四）国有资产占用情况</w:t>
      </w:r>
    </w:p>
    <w:p>
      <w:pPr>
        <w:keepNext w:val="0"/>
        <w:keepLines w:val="0"/>
        <w:pageBreakBefore w:val="0"/>
        <w:kinsoku/>
        <w:wordWrap/>
        <w:overflowPunct/>
        <w:topLinePunct w:val="0"/>
        <w:bidi w:val="0"/>
        <w:spacing w:line="600" w:lineRule="exact"/>
        <w:ind w:firstLine="640" w:firstLineChars="200"/>
        <w:textAlignment w:val="auto"/>
        <w:rPr>
          <w:rFonts w:cs="黑体" w:asciiTheme="minorEastAsia" w:hAnsiTheme="minorEastAsia"/>
          <w:color w:val="000000"/>
          <w:kern w:val="0"/>
          <w:sz w:val="32"/>
          <w:szCs w:val="32"/>
        </w:rPr>
      </w:pPr>
      <w:r>
        <w:rPr>
          <w:rFonts w:hint="eastAsia" w:cs="黑体" w:asciiTheme="minorEastAsia" w:hAnsiTheme="minorEastAsia"/>
          <w:color w:val="000000"/>
          <w:kern w:val="0"/>
          <w:sz w:val="32"/>
          <w:szCs w:val="32"/>
        </w:rPr>
        <w:t>截至201</w:t>
      </w:r>
      <w:r>
        <w:rPr>
          <w:rFonts w:hint="eastAsia" w:cs="黑体" w:asciiTheme="minorEastAsia" w:hAnsiTheme="minorEastAsia"/>
          <w:color w:val="000000"/>
          <w:kern w:val="0"/>
          <w:sz w:val="32"/>
          <w:szCs w:val="32"/>
          <w:lang w:val="en-US" w:eastAsia="zh-CN"/>
        </w:rPr>
        <w:t>8</w:t>
      </w:r>
      <w:r>
        <w:rPr>
          <w:rFonts w:hint="eastAsia" w:cs="黑体" w:asciiTheme="minorEastAsia" w:hAnsiTheme="minorEastAsia"/>
          <w:color w:val="000000"/>
          <w:kern w:val="0"/>
          <w:sz w:val="32"/>
          <w:szCs w:val="32"/>
        </w:rPr>
        <w:t>年12月31日，本单位共有车辆</w:t>
      </w:r>
      <w:r>
        <w:rPr>
          <w:rFonts w:hint="eastAsia" w:cs="黑体" w:asciiTheme="minorEastAsia" w:hAnsiTheme="minorEastAsia"/>
          <w:color w:val="000000"/>
          <w:kern w:val="0"/>
          <w:sz w:val="32"/>
          <w:szCs w:val="32"/>
          <w:lang w:val="en-US" w:eastAsia="zh-CN"/>
        </w:rPr>
        <w:t>1</w:t>
      </w:r>
      <w:r>
        <w:rPr>
          <w:rFonts w:hint="eastAsia" w:cs="黑体" w:asciiTheme="minorEastAsia" w:hAnsiTheme="minorEastAsia"/>
          <w:color w:val="000000"/>
          <w:kern w:val="0"/>
          <w:sz w:val="32"/>
          <w:szCs w:val="32"/>
        </w:rPr>
        <w:t>辆，其中，领导干部用车</w:t>
      </w:r>
      <w:r>
        <w:rPr>
          <w:rFonts w:hint="eastAsia" w:cs="黑体" w:asciiTheme="minorEastAsia" w:hAnsiTheme="minorEastAsia"/>
          <w:color w:val="000000"/>
          <w:kern w:val="0"/>
          <w:sz w:val="32"/>
          <w:szCs w:val="32"/>
          <w:lang w:val="en-US" w:eastAsia="zh-CN"/>
        </w:rPr>
        <w:t>0</w:t>
      </w:r>
      <w:r>
        <w:rPr>
          <w:rFonts w:hint="eastAsia" w:cs="黑体" w:asciiTheme="minorEastAsia" w:hAnsiTheme="minorEastAsia"/>
          <w:color w:val="000000"/>
          <w:kern w:val="0"/>
          <w:sz w:val="32"/>
          <w:szCs w:val="32"/>
        </w:rPr>
        <w:t>辆、机要通信用车</w:t>
      </w:r>
      <w:r>
        <w:rPr>
          <w:rFonts w:hint="eastAsia" w:cs="黑体" w:asciiTheme="minorEastAsia" w:hAnsiTheme="minorEastAsia"/>
          <w:color w:val="000000"/>
          <w:kern w:val="0"/>
          <w:sz w:val="32"/>
          <w:szCs w:val="32"/>
          <w:lang w:val="en-US" w:eastAsia="zh-CN"/>
        </w:rPr>
        <w:t>0</w:t>
      </w:r>
      <w:r>
        <w:rPr>
          <w:rFonts w:hint="eastAsia" w:cs="黑体" w:asciiTheme="minorEastAsia" w:hAnsiTheme="minorEastAsia"/>
          <w:color w:val="000000"/>
          <w:kern w:val="0"/>
          <w:sz w:val="32"/>
          <w:szCs w:val="32"/>
        </w:rPr>
        <w:t>辆、应急保障用车</w:t>
      </w:r>
      <w:r>
        <w:rPr>
          <w:rFonts w:hint="eastAsia" w:cs="黑体" w:asciiTheme="minorEastAsia" w:hAnsiTheme="minorEastAsia"/>
          <w:color w:val="000000"/>
          <w:kern w:val="0"/>
          <w:sz w:val="32"/>
          <w:szCs w:val="32"/>
          <w:lang w:val="en-US" w:eastAsia="zh-CN"/>
        </w:rPr>
        <w:t>0</w:t>
      </w:r>
      <w:r>
        <w:rPr>
          <w:rFonts w:hint="eastAsia" w:cs="黑体" w:asciiTheme="minorEastAsia" w:hAnsiTheme="minorEastAsia"/>
          <w:color w:val="000000"/>
          <w:kern w:val="0"/>
          <w:sz w:val="32"/>
          <w:szCs w:val="32"/>
        </w:rPr>
        <w:t>辆、执法执勤用车</w:t>
      </w:r>
      <w:r>
        <w:rPr>
          <w:rFonts w:hint="eastAsia" w:cs="黑体" w:asciiTheme="minorEastAsia" w:hAnsiTheme="minorEastAsia"/>
          <w:color w:val="000000"/>
          <w:kern w:val="0"/>
          <w:sz w:val="32"/>
          <w:szCs w:val="32"/>
          <w:lang w:val="en-US" w:eastAsia="zh-CN"/>
        </w:rPr>
        <w:t>0</w:t>
      </w:r>
      <w:r>
        <w:rPr>
          <w:rFonts w:hint="eastAsia" w:cs="黑体" w:asciiTheme="minorEastAsia" w:hAnsiTheme="minorEastAsia"/>
          <w:color w:val="000000"/>
          <w:kern w:val="0"/>
          <w:sz w:val="32"/>
          <w:szCs w:val="32"/>
        </w:rPr>
        <w:t>辆、特种专业技术用车</w:t>
      </w:r>
      <w:r>
        <w:rPr>
          <w:rFonts w:hint="eastAsia" w:cs="黑体" w:asciiTheme="minorEastAsia" w:hAnsiTheme="minorEastAsia"/>
          <w:color w:val="000000"/>
          <w:kern w:val="0"/>
          <w:sz w:val="32"/>
          <w:szCs w:val="32"/>
          <w:lang w:val="en-US" w:eastAsia="zh-CN"/>
        </w:rPr>
        <w:t>0</w:t>
      </w:r>
      <w:r>
        <w:rPr>
          <w:rFonts w:hint="eastAsia" w:cs="黑体" w:asciiTheme="minorEastAsia" w:hAnsiTheme="minorEastAsia"/>
          <w:color w:val="000000"/>
          <w:kern w:val="0"/>
          <w:sz w:val="32"/>
          <w:szCs w:val="32"/>
        </w:rPr>
        <w:t>辆、其他用车</w:t>
      </w:r>
      <w:r>
        <w:rPr>
          <w:rFonts w:hint="eastAsia" w:cs="黑体" w:asciiTheme="minorEastAsia" w:hAnsiTheme="minorEastAsia"/>
          <w:color w:val="000000"/>
          <w:kern w:val="0"/>
          <w:sz w:val="32"/>
          <w:szCs w:val="32"/>
          <w:lang w:val="en-US" w:eastAsia="zh-CN"/>
        </w:rPr>
        <w:t>1</w:t>
      </w:r>
      <w:r>
        <w:rPr>
          <w:rFonts w:hint="eastAsia" w:cs="黑体" w:asciiTheme="minorEastAsia" w:hAnsiTheme="minorEastAsia"/>
          <w:color w:val="000000"/>
          <w:kern w:val="0"/>
          <w:sz w:val="32"/>
          <w:szCs w:val="32"/>
        </w:rPr>
        <w:t>辆，其他用车主要是</w:t>
      </w:r>
      <w:r>
        <w:rPr>
          <w:rFonts w:hint="eastAsia" w:cs="黑体" w:asciiTheme="minorEastAsia" w:hAnsiTheme="minorEastAsia"/>
          <w:color w:val="000000"/>
          <w:kern w:val="0"/>
          <w:sz w:val="32"/>
          <w:szCs w:val="32"/>
          <w:lang w:eastAsia="zh-CN"/>
        </w:rPr>
        <w:t>用于单位的日常办公</w:t>
      </w:r>
      <w:r>
        <w:rPr>
          <w:rFonts w:hint="eastAsia" w:cs="黑体" w:asciiTheme="minorEastAsia" w:hAnsiTheme="minorEastAsia"/>
          <w:color w:val="000000"/>
          <w:kern w:val="0"/>
          <w:sz w:val="32"/>
          <w:szCs w:val="32"/>
        </w:rPr>
        <w:t>；单位价值50万元以上通用设备</w:t>
      </w:r>
      <w:r>
        <w:rPr>
          <w:rFonts w:hint="eastAsia" w:cs="黑体" w:asciiTheme="minorEastAsia" w:hAnsiTheme="minorEastAsia"/>
          <w:color w:val="000000"/>
          <w:kern w:val="0"/>
          <w:sz w:val="32"/>
          <w:szCs w:val="32"/>
          <w:lang w:val="en-US" w:eastAsia="zh-CN"/>
        </w:rPr>
        <w:t>0</w:t>
      </w:r>
      <w:r>
        <w:rPr>
          <w:rFonts w:hint="eastAsia" w:cs="黑体" w:asciiTheme="minorEastAsia" w:hAnsiTheme="minorEastAsia"/>
          <w:color w:val="000000"/>
          <w:kern w:val="0"/>
          <w:sz w:val="32"/>
          <w:szCs w:val="32"/>
        </w:rPr>
        <w:t>台（套）；单位价值100万元以上专用设备</w:t>
      </w:r>
      <w:r>
        <w:rPr>
          <w:rFonts w:hint="eastAsia" w:cs="黑体" w:asciiTheme="minorEastAsia" w:hAnsiTheme="minorEastAsia"/>
          <w:color w:val="000000"/>
          <w:kern w:val="0"/>
          <w:sz w:val="32"/>
          <w:szCs w:val="32"/>
          <w:lang w:val="en-US" w:eastAsia="zh-CN"/>
        </w:rPr>
        <w:t>0</w:t>
      </w:r>
      <w:r>
        <w:rPr>
          <w:rFonts w:hint="eastAsia" w:cs="黑体" w:asciiTheme="minorEastAsia" w:hAnsiTheme="minorEastAsia"/>
          <w:color w:val="000000"/>
          <w:kern w:val="0"/>
          <w:sz w:val="32"/>
          <w:szCs w:val="32"/>
        </w:rPr>
        <w:t>台（套）。</w:t>
      </w:r>
    </w:p>
    <w:p>
      <w:pPr>
        <w:widowControl/>
        <w:jc w:val="left"/>
        <w:rPr>
          <w:rFonts w:cs="黑体" w:asciiTheme="minorEastAsia" w:hAnsiTheme="minorEastAsia"/>
          <w:color w:val="000000"/>
          <w:kern w:val="0"/>
          <w:sz w:val="32"/>
          <w:szCs w:val="32"/>
        </w:rPr>
      </w:pPr>
      <w:r>
        <w:rPr>
          <w:rFonts w:cs="黑体" w:asciiTheme="minorEastAsia" w:hAnsiTheme="minorEastAsia"/>
          <w:color w:val="000000"/>
          <w:kern w:val="0"/>
          <w:sz w:val="32"/>
          <w:szCs w:val="32"/>
        </w:rPr>
        <w:br w:type="page"/>
      </w:r>
    </w:p>
    <w:p>
      <w:pPr>
        <w:keepNext w:val="0"/>
        <w:keepLines w:val="0"/>
        <w:pageBreakBefore w:val="0"/>
        <w:kinsoku/>
        <w:wordWrap/>
        <w:overflowPunct/>
        <w:topLinePunct w:val="0"/>
        <w:bidi w:val="0"/>
        <w:spacing w:line="600" w:lineRule="exact"/>
        <w:ind w:firstLine="420" w:firstLineChars="200"/>
        <w:textAlignment w:val="auto"/>
        <w:rPr>
          <w:rFonts w:asciiTheme="majorEastAsia" w:hAnsiTheme="majorEastAsia" w:eastAsiaTheme="majorEastAsia"/>
        </w:rPr>
      </w:pPr>
    </w:p>
    <w:p>
      <w:pPr>
        <w:keepNext w:val="0"/>
        <w:keepLines w:val="0"/>
        <w:pageBreakBefore w:val="0"/>
        <w:kinsoku/>
        <w:wordWrap/>
        <w:overflowPunct/>
        <w:topLinePunct w:val="0"/>
        <w:bidi w:val="0"/>
        <w:spacing w:line="600" w:lineRule="exact"/>
        <w:ind w:firstLine="420" w:firstLineChars="200"/>
        <w:textAlignment w:val="auto"/>
        <w:rPr>
          <w:rFonts w:asciiTheme="majorEastAsia" w:hAnsiTheme="majorEastAsia" w:eastAsiaTheme="majorEastAsia"/>
        </w:rPr>
      </w:pPr>
    </w:p>
    <w:p>
      <w:pPr>
        <w:keepNext w:val="0"/>
        <w:keepLines w:val="0"/>
        <w:pageBreakBefore w:val="0"/>
        <w:kinsoku/>
        <w:wordWrap/>
        <w:overflowPunct/>
        <w:topLinePunct w:val="0"/>
        <w:bidi w:val="0"/>
        <w:spacing w:line="600" w:lineRule="exact"/>
        <w:ind w:firstLine="420" w:firstLineChars="200"/>
        <w:textAlignment w:val="auto"/>
        <w:rPr>
          <w:rFonts w:asciiTheme="majorEastAsia" w:hAnsiTheme="majorEastAsia" w:eastAsiaTheme="majorEastAsia"/>
        </w:rPr>
      </w:pPr>
    </w:p>
    <w:p>
      <w:pPr>
        <w:keepNext w:val="0"/>
        <w:keepLines w:val="0"/>
        <w:pageBreakBefore w:val="0"/>
        <w:kinsoku/>
        <w:wordWrap/>
        <w:overflowPunct/>
        <w:topLinePunct w:val="0"/>
        <w:bidi w:val="0"/>
        <w:spacing w:line="600" w:lineRule="exact"/>
        <w:ind w:firstLine="420" w:firstLineChars="200"/>
        <w:textAlignment w:val="auto"/>
        <w:rPr>
          <w:rFonts w:asciiTheme="majorEastAsia" w:hAnsiTheme="majorEastAsia" w:eastAsiaTheme="majorEastAsia"/>
        </w:rPr>
      </w:pPr>
    </w:p>
    <w:p>
      <w:pPr>
        <w:keepNext w:val="0"/>
        <w:keepLines w:val="0"/>
        <w:pageBreakBefore w:val="0"/>
        <w:kinsoku/>
        <w:wordWrap/>
        <w:overflowPunct/>
        <w:topLinePunct w:val="0"/>
        <w:bidi w:val="0"/>
        <w:spacing w:line="600" w:lineRule="exact"/>
        <w:ind w:firstLine="420" w:firstLineChars="200"/>
        <w:textAlignment w:val="auto"/>
        <w:rPr>
          <w:rFonts w:asciiTheme="majorEastAsia" w:hAnsiTheme="majorEastAsia" w:eastAsiaTheme="majorEastAsia"/>
        </w:rPr>
      </w:pPr>
    </w:p>
    <w:p>
      <w:pPr>
        <w:keepNext w:val="0"/>
        <w:keepLines w:val="0"/>
        <w:pageBreakBefore w:val="0"/>
        <w:kinsoku/>
        <w:wordWrap/>
        <w:overflowPunct/>
        <w:topLinePunct w:val="0"/>
        <w:bidi w:val="0"/>
        <w:spacing w:line="600" w:lineRule="exact"/>
        <w:ind w:firstLine="420" w:firstLineChars="200"/>
        <w:textAlignment w:val="auto"/>
        <w:rPr>
          <w:rFonts w:asciiTheme="majorEastAsia" w:hAnsiTheme="majorEastAsia" w:eastAsiaTheme="majorEastAsia"/>
        </w:rPr>
      </w:pPr>
    </w:p>
    <w:p>
      <w:pPr>
        <w:jc w:val="center"/>
        <w:rPr>
          <w:rFonts w:ascii="黑体" w:hAnsi="黑体" w:eastAsia="黑体"/>
          <w:sz w:val="84"/>
          <w:szCs w:val="84"/>
        </w:rPr>
      </w:pPr>
      <w:r>
        <w:rPr>
          <w:rFonts w:hint="eastAsia" w:ascii="黑体" w:hAnsi="黑体" w:eastAsia="黑体"/>
          <w:sz w:val="84"/>
          <w:szCs w:val="84"/>
        </w:rPr>
        <w:t>第四部分</w:t>
      </w:r>
    </w:p>
    <w:p>
      <w:pPr>
        <w:keepNext w:val="0"/>
        <w:keepLines w:val="0"/>
        <w:pageBreakBefore w:val="0"/>
        <w:kinsoku/>
        <w:wordWrap/>
        <w:overflowPunct/>
        <w:topLinePunct w:val="0"/>
        <w:bidi w:val="0"/>
        <w:spacing w:line="600" w:lineRule="exact"/>
        <w:ind w:firstLine="1680" w:firstLineChars="200"/>
        <w:textAlignment w:val="auto"/>
        <w:rPr>
          <w:rFonts w:hint="eastAsia" w:ascii="黑体" w:hAnsi="黑体" w:eastAsia="黑体"/>
          <w:sz w:val="84"/>
          <w:szCs w:val="84"/>
        </w:rPr>
      </w:pPr>
    </w:p>
    <w:p>
      <w:pPr>
        <w:jc w:val="center"/>
        <w:rPr>
          <w:rFonts w:hint="eastAsia" w:ascii="黑体" w:hAnsi="黑体" w:eastAsia="黑体"/>
          <w:sz w:val="84"/>
          <w:szCs w:val="84"/>
          <w:lang w:eastAsia="zh-CN"/>
        </w:rPr>
      </w:pPr>
      <w:r>
        <w:rPr>
          <w:rFonts w:hint="eastAsia" w:ascii="黑体" w:hAnsi="黑体" w:eastAsia="黑体"/>
          <w:sz w:val="84"/>
          <w:szCs w:val="84"/>
          <w:lang w:eastAsia="zh-CN"/>
        </w:rPr>
        <w:t>名词解释</w:t>
      </w:r>
    </w:p>
    <w:p>
      <w:pPr>
        <w:keepNext w:val="0"/>
        <w:keepLines w:val="0"/>
        <w:pageBreakBefore w:val="0"/>
        <w:kinsoku/>
        <w:wordWrap/>
        <w:overflowPunct/>
        <w:topLinePunct w:val="0"/>
        <w:bidi w:val="0"/>
        <w:spacing w:line="600" w:lineRule="exact"/>
        <w:ind w:firstLine="420" w:firstLineChars="200"/>
        <w:textAlignment w:val="auto"/>
        <w:rPr>
          <w:rFonts w:asciiTheme="majorEastAsia" w:hAnsiTheme="majorEastAsia" w:eastAsiaTheme="majorEastAsia"/>
        </w:rPr>
      </w:pPr>
    </w:p>
    <w:p>
      <w:pPr>
        <w:keepNext w:val="0"/>
        <w:keepLines w:val="0"/>
        <w:pageBreakBefore w:val="0"/>
        <w:kinsoku/>
        <w:wordWrap/>
        <w:overflowPunct/>
        <w:topLinePunct w:val="0"/>
        <w:bidi w:val="0"/>
        <w:spacing w:line="600" w:lineRule="exact"/>
        <w:ind w:firstLine="420" w:firstLineChars="200"/>
        <w:textAlignment w:val="auto"/>
        <w:rPr>
          <w:rFonts w:asciiTheme="majorEastAsia" w:hAnsiTheme="majorEastAsia" w:eastAsiaTheme="majorEastAsia"/>
        </w:rPr>
      </w:pPr>
    </w:p>
    <w:p>
      <w:pPr>
        <w:keepNext w:val="0"/>
        <w:keepLines w:val="0"/>
        <w:pageBreakBefore w:val="0"/>
        <w:kinsoku/>
        <w:wordWrap/>
        <w:overflowPunct/>
        <w:topLinePunct w:val="0"/>
        <w:bidi w:val="0"/>
        <w:spacing w:line="600" w:lineRule="exact"/>
        <w:ind w:firstLine="420" w:firstLineChars="200"/>
        <w:textAlignment w:val="auto"/>
        <w:rPr>
          <w:rFonts w:asciiTheme="majorEastAsia" w:hAnsiTheme="majorEastAsia" w:eastAsiaTheme="majorEastAsia"/>
        </w:rPr>
      </w:pPr>
    </w:p>
    <w:p>
      <w:pPr>
        <w:keepNext w:val="0"/>
        <w:keepLines w:val="0"/>
        <w:pageBreakBefore w:val="0"/>
        <w:kinsoku/>
        <w:wordWrap/>
        <w:overflowPunct/>
        <w:topLinePunct w:val="0"/>
        <w:bidi w:val="0"/>
        <w:spacing w:line="600" w:lineRule="exact"/>
        <w:ind w:firstLine="420" w:firstLineChars="200"/>
        <w:textAlignment w:val="auto"/>
        <w:rPr>
          <w:rFonts w:asciiTheme="majorEastAsia" w:hAnsiTheme="majorEastAsia" w:eastAsiaTheme="majorEastAsia"/>
        </w:rPr>
      </w:pPr>
    </w:p>
    <w:p>
      <w:pPr>
        <w:keepNext w:val="0"/>
        <w:keepLines w:val="0"/>
        <w:pageBreakBefore w:val="0"/>
        <w:kinsoku/>
        <w:wordWrap/>
        <w:overflowPunct/>
        <w:topLinePunct w:val="0"/>
        <w:bidi w:val="0"/>
        <w:spacing w:line="600" w:lineRule="exact"/>
        <w:ind w:firstLine="420" w:firstLineChars="200"/>
        <w:textAlignment w:val="auto"/>
        <w:rPr>
          <w:rFonts w:asciiTheme="majorEastAsia" w:hAnsiTheme="majorEastAsia" w:eastAsiaTheme="majorEastAsia"/>
        </w:rPr>
      </w:pPr>
    </w:p>
    <w:p>
      <w:pPr>
        <w:keepNext w:val="0"/>
        <w:keepLines w:val="0"/>
        <w:pageBreakBefore w:val="0"/>
        <w:kinsoku/>
        <w:wordWrap/>
        <w:overflowPunct/>
        <w:topLinePunct w:val="0"/>
        <w:bidi w:val="0"/>
        <w:spacing w:line="600" w:lineRule="exact"/>
        <w:ind w:firstLine="420" w:firstLineChars="200"/>
        <w:textAlignment w:val="auto"/>
        <w:rPr>
          <w:rFonts w:asciiTheme="majorEastAsia" w:hAnsiTheme="majorEastAsia" w:eastAsiaTheme="majorEastAsia"/>
        </w:rPr>
      </w:pPr>
    </w:p>
    <w:p>
      <w:pPr>
        <w:keepNext w:val="0"/>
        <w:keepLines w:val="0"/>
        <w:pageBreakBefore w:val="0"/>
        <w:kinsoku/>
        <w:wordWrap/>
        <w:overflowPunct/>
        <w:topLinePunct w:val="0"/>
        <w:bidi w:val="0"/>
        <w:spacing w:line="600" w:lineRule="exact"/>
        <w:ind w:firstLine="420" w:firstLineChars="200"/>
        <w:textAlignment w:val="auto"/>
        <w:rPr>
          <w:rFonts w:asciiTheme="majorEastAsia" w:hAnsiTheme="majorEastAsia" w:eastAsiaTheme="majorEastAsia"/>
        </w:rPr>
      </w:pPr>
    </w:p>
    <w:p>
      <w:pPr>
        <w:keepNext w:val="0"/>
        <w:keepLines w:val="0"/>
        <w:pageBreakBefore w:val="0"/>
        <w:kinsoku/>
        <w:wordWrap/>
        <w:overflowPunct/>
        <w:topLinePunct w:val="0"/>
        <w:bidi w:val="0"/>
        <w:spacing w:line="600" w:lineRule="exact"/>
        <w:textAlignment w:val="auto"/>
      </w:pPr>
    </w:p>
    <w:p/>
    <w:p/>
    <w:p/>
    <w:p/>
    <w:p/>
    <w:p/>
    <w:p/>
    <w:p/>
    <w:p>
      <w:pPr>
        <w:keepNext w:val="0"/>
        <w:keepLines w:val="0"/>
        <w:pageBreakBefore w:val="0"/>
        <w:widowControl/>
        <w:shd w:val="clear" w:color="auto" w:fill="FFFFFF"/>
        <w:kinsoku/>
        <w:wordWrap/>
        <w:overflowPunct/>
        <w:topLinePunct w:val="0"/>
        <w:autoSpaceDE/>
        <w:autoSpaceDN/>
        <w:bidi w:val="0"/>
        <w:adjustRightInd/>
        <w:snapToGrid/>
        <w:spacing w:beforeAutospacing="0" w:line="600" w:lineRule="exact"/>
        <w:ind w:firstLine="640" w:firstLineChars="200"/>
        <w:jc w:val="left"/>
        <w:textAlignment w:val="auto"/>
        <w:rPr>
          <w:rFonts w:asciiTheme="majorEastAsia" w:hAnsiTheme="majorEastAsia" w:eastAsiaTheme="majorEastAsia"/>
          <w:sz w:val="32"/>
          <w:szCs w:val="32"/>
        </w:rPr>
      </w:pPr>
      <w:r>
        <w:rPr>
          <w:rFonts w:hint="eastAsia" w:ascii="黑体" w:hAnsi="黑体" w:eastAsia="黑体"/>
          <w:sz w:val="32"/>
          <w:szCs w:val="32"/>
        </w:rPr>
        <w:t>1、基本支出：</w:t>
      </w:r>
      <w:r>
        <w:rPr>
          <w:rFonts w:hint="eastAsia" w:asciiTheme="majorEastAsia" w:hAnsiTheme="majorEastAsia" w:eastAsiaTheme="majorEastAsia"/>
          <w:sz w:val="32"/>
          <w:szCs w:val="32"/>
        </w:rPr>
        <w:t>指为保障机构正常运转、完成日常工作任务而发生的各项支出，包括人员支出和公用支出。</w:t>
      </w:r>
    </w:p>
    <w:p>
      <w:pPr>
        <w:keepNext w:val="0"/>
        <w:keepLines w:val="0"/>
        <w:pageBreakBefore w:val="0"/>
        <w:widowControl/>
        <w:shd w:val="clear" w:color="auto" w:fill="FFFFFF"/>
        <w:kinsoku/>
        <w:wordWrap/>
        <w:overflowPunct/>
        <w:topLinePunct w:val="0"/>
        <w:autoSpaceDE/>
        <w:autoSpaceDN/>
        <w:bidi w:val="0"/>
        <w:adjustRightInd/>
        <w:snapToGrid/>
        <w:spacing w:beforeAutospacing="0" w:line="600" w:lineRule="exact"/>
        <w:ind w:firstLine="640" w:firstLineChars="200"/>
        <w:jc w:val="left"/>
        <w:textAlignment w:val="auto"/>
        <w:rPr>
          <w:rFonts w:cs="黑体" w:asciiTheme="minorEastAsia" w:hAnsiTheme="minorEastAsia"/>
          <w:color w:val="000000"/>
          <w:kern w:val="0"/>
          <w:sz w:val="32"/>
          <w:szCs w:val="32"/>
        </w:rPr>
      </w:pPr>
      <w:r>
        <w:rPr>
          <w:rFonts w:hint="eastAsia" w:ascii="黑体" w:hAnsi="黑体" w:eastAsia="黑体"/>
          <w:sz w:val="32"/>
          <w:szCs w:val="32"/>
        </w:rPr>
        <w:t>2、项目支出</w:t>
      </w:r>
      <w:r>
        <w:rPr>
          <w:rFonts w:hint="eastAsia" w:cs="黑体" w:asciiTheme="minorEastAsia" w:hAnsiTheme="minorEastAsia"/>
          <w:color w:val="000000"/>
          <w:kern w:val="0"/>
          <w:sz w:val="32"/>
          <w:szCs w:val="32"/>
        </w:rPr>
        <w:t>：指在基本支出以外为完成相关行政任务和事业发展目标所发生的各项支出。</w:t>
      </w:r>
    </w:p>
    <w:p>
      <w:pPr>
        <w:keepNext w:val="0"/>
        <w:keepLines w:val="0"/>
        <w:pageBreakBefore w:val="0"/>
        <w:kinsoku/>
        <w:wordWrap/>
        <w:overflowPunct/>
        <w:topLinePunct w:val="0"/>
        <w:autoSpaceDE/>
        <w:autoSpaceDN/>
        <w:bidi w:val="0"/>
        <w:adjustRightInd/>
        <w:snapToGrid/>
        <w:spacing w:beforeAutospacing="0" w:line="600" w:lineRule="exact"/>
        <w:ind w:firstLine="640" w:firstLineChars="200"/>
        <w:textAlignment w:val="auto"/>
        <w:rPr>
          <w:rFonts w:asciiTheme="majorEastAsia" w:hAnsiTheme="majorEastAsia" w:eastAsiaTheme="majorEastAsia"/>
          <w:sz w:val="32"/>
          <w:szCs w:val="32"/>
        </w:rPr>
      </w:pPr>
      <w:r>
        <w:rPr>
          <w:rFonts w:hint="eastAsia" w:ascii="黑体" w:hAnsi="黑体" w:eastAsia="黑体"/>
          <w:sz w:val="32"/>
          <w:szCs w:val="32"/>
        </w:rPr>
        <w:t>3</w:t>
      </w:r>
      <w:r>
        <w:rPr>
          <w:rFonts w:hint="eastAsia" w:ascii="仿宋" w:hAnsi="仿宋" w:eastAsia="仿宋"/>
          <w:sz w:val="32"/>
          <w:szCs w:val="32"/>
        </w:rPr>
        <w:t>、</w:t>
      </w:r>
      <w:r>
        <w:rPr>
          <w:rFonts w:hint="eastAsia" w:ascii="黑体" w:hAnsi="黑体" w:eastAsia="黑体"/>
          <w:sz w:val="32"/>
          <w:szCs w:val="32"/>
        </w:rPr>
        <w:t>“三公”经费</w:t>
      </w:r>
      <w:r>
        <w:rPr>
          <w:rFonts w:hint="eastAsia" w:asciiTheme="majorEastAsia" w:hAnsiTheme="majorEastAsia" w:eastAsiaTheme="majorEastAsia"/>
          <w:sz w:val="32"/>
          <w:szCs w:val="32"/>
        </w:rPr>
        <w:t>：是指财政拨款支出安排的出国（境）费</w:t>
      </w:r>
      <w:r>
        <w:rPr>
          <w:rFonts w:hint="eastAsia" w:asciiTheme="majorEastAsia" w:hAnsiTheme="majorEastAsia" w:eastAsiaTheme="majorEastAsia"/>
          <w:sz w:val="32"/>
          <w:szCs w:val="32"/>
          <w:lang w:eastAsia="zh-CN"/>
        </w:rPr>
        <w:t>、</w:t>
      </w:r>
      <w:r>
        <w:rPr>
          <w:rFonts w:hint="eastAsia" w:asciiTheme="majorEastAsia" w:hAnsiTheme="majorEastAsia" w:eastAsiaTheme="majorEastAsia"/>
          <w:sz w:val="32"/>
          <w:szCs w:val="32"/>
        </w:rPr>
        <w:t>车辆购置及运行费、公务接待费这三项经费。</w:t>
      </w:r>
    </w:p>
    <w:p>
      <w:pPr>
        <w:keepNext w:val="0"/>
        <w:keepLines w:val="0"/>
        <w:pageBreakBefore w:val="0"/>
        <w:kinsoku/>
        <w:wordWrap/>
        <w:overflowPunct/>
        <w:topLinePunct w:val="0"/>
        <w:autoSpaceDE/>
        <w:autoSpaceDN/>
        <w:bidi w:val="0"/>
        <w:adjustRightInd/>
        <w:snapToGrid/>
        <w:spacing w:beforeAutospacing="0" w:line="600" w:lineRule="exact"/>
        <w:ind w:firstLine="640" w:firstLineChars="200"/>
        <w:textAlignment w:val="auto"/>
        <w:rPr>
          <w:rFonts w:ascii="仿宋" w:hAnsi="仿宋" w:eastAsia="仿宋"/>
          <w:sz w:val="32"/>
          <w:szCs w:val="32"/>
        </w:rPr>
      </w:pPr>
      <w:r>
        <w:rPr>
          <w:rFonts w:hint="eastAsia" w:ascii="黑体" w:hAnsi="黑体" w:eastAsia="黑体"/>
          <w:sz w:val="32"/>
          <w:szCs w:val="32"/>
        </w:rPr>
        <w:t>4、机关运行经费：为保险行政单位（含参照公务员法</w:t>
      </w:r>
      <w:r>
        <w:rPr>
          <w:rFonts w:hint="eastAsia" w:asciiTheme="majorEastAsia" w:hAnsiTheme="majorEastAsia" w:eastAsiaTheme="majorEastAsia"/>
          <w:sz w:val="32"/>
          <w:szCs w:val="32"/>
        </w:rPr>
        <w:t>管理事业单位）运行用于购买货物和服务的各项资金，包括办公</w:t>
      </w:r>
      <w:r>
        <w:rPr>
          <w:rFonts w:hint="eastAsia" w:asciiTheme="majorEastAsia" w:hAnsiTheme="majorEastAsia" w:eastAsiaTheme="majorEastAsia"/>
          <w:sz w:val="32"/>
          <w:szCs w:val="32"/>
          <w:lang w:eastAsia="zh-CN"/>
        </w:rPr>
        <w:t>费</w:t>
      </w:r>
      <w:r>
        <w:rPr>
          <w:rFonts w:hint="eastAsia" w:asciiTheme="majorEastAsia" w:hAnsiTheme="majorEastAsia" w:eastAsiaTheme="majorEastAsia"/>
          <w:sz w:val="32"/>
          <w:szCs w:val="32"/>
        </w:rPr>
        <w:t>及印刷费、邮电费、会议费、福利费、日常维修费、专用材料及一般设备购置费、办公用房水电费、办公用房取暖费、办公用房物业管理费、公务用车运行维护费以及其他费用</w:t>
      </w:r>
      <w:r>
        <w:rPr>
          <w:rFonts w:hint="eastAsia" w:ascii="仿宋" w:hAnsi="仿宋" w:eastAsia="仿宋"/>
          <w:sz w:val="32"/>
          <w:szCs w:val="32"/>
        </w:rPr>
        <w:t>。</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仿宋" w:hAnsi="仿宋" w:eastAsia="仿宋"/>
          <w:sz w:val="32"/>
          <w:szCs w:val="32"/>
        </w:rPr>
      </w:pPr>
    </w:p>
    <w:p>
      <w:pPr>
        <w:rPr>
          <w:b/>
          <w:sz w:val="32"/>
          <w:szCs w:val="32"/>
        </w:rPr>
      </w:pPr>
    </w:p>
    <w:p>
      <w:pPr>
        <w:rPr>
          <w:b/>
          <w:sz w:val="32"/>
          <w:szCs w:val="32"/>
        </w:rPr>
      </w:pPr>
    </w:p>
    <w:p>
      <w:pPr>
        <w:rPr>
          <w:b/>
          <w:sz w:val="32"/>
          <w:szCs w:val="32"/>
        </w:rPr>
      </w:pPr>
    </w:p>
    <w:p>
      <w:pPr>
        <w:rPr>
          <w:b/>
          <w:sz w:val="32"/>
          <w:szCs w:val="32"/>
        </w:rPr>
      </w:pPr>
    </w:p>
    <w:p>
      <w:pPr>
        <w:rPr>
          <w:b/>
          <w:sz w:val="32"/>
          <w:szCs w:val="32"/>
        </w:rPr>
      </w:pPr>
    </w:p>
    <w:p>
      <w:pPr>
        <w:rPr>
          <w:b/>
          <w:sz w:val="32"/>
          <w:szCs w:val="32"/>
        </w:rPr>
      </w:pPr>
    </w:p>
    <w:p>
      <w:pPr>
        <w:rPr>
          <w:b/>
          <w:sz w:val="32"/>
          <w:szCs w:val="32"/>
        </w:rPr>
      </w:pPr>
    </w:p>
    <w:p>
      <w:pPr>
        <w:rPr>
          <w:b/>
          <w:sz w:val="32"/>
          <w:szCs w:val="32"/>
        </w:rPr>
      </w:pPr>
    </w:p>
    <w:p>
      <w:pPr>
        <w:rPr>
          <w:b/>
          <w:sz w:val="32"/>
          <w:szCs w:val="32"/>
        </w:rPr>
      </w:pPr>
    </w:p>
    <w:p>
      <w:pPr>
        <w:rPr>
          <w:b/>
          <w:sz w:val="32"/>
          <w:szCs w:val="32"/>
        </w:rPr>
      </w:pPr>
    </w:p>
    <w:p>
      <w:pPr>
        <w:rPr>
          <w:b/>
          <w:sz w:val="32"/>
          <w:szCs w:val="32"/>
        </w:rPr>
      </w:pPr>
    </w:p>
    <w:p>
      <w:pPr>
        <w:rPr>
          <w:b/>
          <w:sz w:val="32"/>
          <w:szCs w:val="32"/>
        </w:rPr>
      </w:pPr>
    </w:p>
    <w:p>
      <w:pPr>
        <w:rPr>
          <w:b/>
          <w:sz w:val="32"/>
          <w:szCs w:val="32"/>
        </w:rPr>
      </w:pPr>
    </w:p>
    <w:p>
      <w:pPr>
        <w:rPr>
          <w:b/>
          <w:sz w:val="32"/>
          <w:szCs w:val="32"/>
        </w:rPr>
      </w:pPr>
    </w:p>
    <w:p>
      <w:pPr>
        <w:rPr>
          <w:b/>
          <w:sz w:val="32"/>
          <w:szCs w:val="32"/>
        </w:rPr>
      </w:pPr>
    </w:p>
    <w:p>
      <w:pPr>
        <w:rPr>
          <w:b/>
          <w:sz w:val="32"/>
          <w:szCs w:val="32"/>
        </w:rPr>
      </w:pPr>
    </w:p>
    <w:p>
      <w:pPr>
        <w:rPr>
          <w:b/>
          <w:sz w:val="32"/>
          <w:szCs w:val="32"/>
        </w:rPr>
      </w:pPr>
    </w:p>
    <w:p>
      <w:pPr>
        <w:jc w:val="center"/>
        <w:rPr>
          <w:rFonts w:ascii="黑体" w:hAnsi="黑体" w:eastAsia="黑体"/>
          <w:sz w:val="84"/>
          <w:szCs w:val="84"/>
        </w:rPr>
      </w:pPr>
      <w:r>
        <w:rPr>
          <w:rFonts w:hint="eastAsia" w:ascii="黑体" w:hAnsi="黑体" w:eastAsia="黑体"/>
          <w:sz w:val="84"/>
          <w:szCs w:val="84"/>
        </w:rPr>
        <w:t>第五部分</w:t>
      </w:r>
    </w:p>
    <w:p>
      <w:pPr>
        <w:jc w:val="center"/>
        <w:rPr>
          <w:rFonts w:hint="default" w:eastAsia="宋体"/>
          <w:b/>
          <w:sz w:val="84"/>
          <w:szCs w:val="84"/>
          <w:lang w:val="en-US" w:eastAsia="zh-CN"/>
        </w:rPr>
      </w:pPr>
      <w:r>
        <w:rPr>
          <w:rFonts w:hint="eastAsia" w:ascii="黑体" w:hAnsi="黑体" w:eastAsia="黑体"/>
          <w:sz w:val="84"/>
          <w:szCs w:val="84"/>
          <w:lang w:val="en-US" w:eastAsia="zh-CN"/>
        </w:rPr>
        <w:t>2018年度部门整体支出绩效评价报告</w:t>
      </w:r>
    </w:p>
    <w:p>
      <w:pPr>
        <w:jc w:val="center"/>
        <w:rPr>
          <w:b/>
          <w:sz w:val="84"/>
          <w:szCs w:val="84"/>
        </w:rPr>
      </w:pPr>
    </w:p>
    <w:p>
      <w:pPr>
        <w:jc w:val="center"/>
        <w:rPr>
          <w:b/>
          <w:sz w:val="84"/>
          <w:szCs w:val="84"/>
        </w:rPr>
      </w:pPr>
    </w:p>
    <w:p>
      <w:pPr>
        <w:keepNext w:val="0"/>
        <w:keepLines w:val="0"/>
        <w:pageBreakBefore w:val="0"/>
        <w:widowControl w:val="0"/>
        <w:kinsoku/>
        <w:wordWrap/>
        <w:overflowPunct/>
        <w:topLinePunct w:val="0"/>
        <w:autoSpaceDE/>
        <w:autoSpaceDN/>
        <w:bidi w:val="0"/>
        <w:adjustRightInd w:val="0"/>
        <w:snapToGrid w:val="0"/>
        <w:spacing w:line="640" w:lineRule="exact"/>
        <w:ind w:firstLine="1320" w:firstLineChars="300"/>
        <w:jc w:val="both"/>
        <w:textAlignment w:val="auto"/>
        <w:rPr>
          <w:rFonts w:hint="eastAsia" w:ascii="方正小标宋简体" w:hAnsi="方正小标宋简体" w:eastAsia="方正小标宋简体" w:cs="方正小标宋简体"/>
          <w:b w:val="0"/>
          <w:bCs w:val="0"/>
          <w:sz w:val="44"/>
          <w:szCs w:val="44"/>
        </w:rPr>
      </w:pPr>
    </w:p>
    <w:p>
      <w:pPr>
        <w:keepNext w:val="0"/>
        <w:keepLines w:val="0"/>
        <w:pageBreakBefore w:val="0"/>
        <w:widowControl w:val="0"/>
        <w:kinsoku/>
        <w:wordWrap/>
        <w:overflowPunct/>
        <w:topLinePunct w:val="0"/>
        <w:autoSpaceDE/>
        <w:autoSpaceDN/>
        <w:bidi w:val="0"/>
        <w:adjustRightInd w:val="0"/>
        <w:snapToGrid w:val="0"/>
        <w:spacing w:line="640" w:lineRule="exact"/>
        <w:ind w:firstLine="1320" w:firstLineChars="300"/>
        <w:jc w:val="both"/>
        <w:textAlignment w:val="auto"/>
        <w:rPr>
          <w:rFonts w:hint="eastAsia" w:ascii="方正小标宋简体" w:hAnsi="方正小标宋简体" w:eastAsia="方正小标宋简体" w:cs="方正小标宋简体"/>
          <w:b w:val="0"/>
          <w:bCs w:val="0"/>
          <w:sz w:val="44"/>
          <w:szCs w:val="44"/>
        </w:rPr>
      </w:pPr>
    </w:p>
    <w:p>
      <w:pPr>
        <w:keepNext w:val="0"/>
        <w:keepLines w:val="0"/>
        <w:pageBreakBefore w:val="0"/>
        <w:widowControl w:val="0"/>
        <w:kinsoku/>
        <w:wordWrap/>
        <w:overflowPunct/>
        <w:topLinePunct w:val="0"/>
        <w:autoSpaceDE/>
        <w:autoSpaceDN/>
        <w:bidi w:val="0"/>
        <w:adjustRightInd w:val="0"/>
        <w:snapToGrid w:val="0"/>
        <w:spacing w:line="640" w:lineRule="exact"/>
        <w:ind w:firstLine="1320" w:firstLineChars="300"/>
        <w:jc w:val="both"/>
        <w:textAlignment w:val="auto"/>
        <w:rPr>
          <w:rFonts w:hint="eastAsia" w:ascii="方正小标宋简体" w:hAnsi="方正小标宋简体" w:eastAsia="方正小标宋简体" w:cs="方正小标宋简体"/>
          <w:b w:val="0"/>
          <w:bCs w:val="0"/>
          <w:sz w:val="44"/>
          <w:szCs w:val="44"/>
        </w:rPr>
      </w:pPr>
    </w:p>
    <w:p>
      <w:pPr>
        <w:keepNext w:val="0"/>
        <w:keepLines w:val="0"/>
        <w:pageBreakBefore w:val="0"/>
        <w:widowControl w:val="0"/>
        <w:kinsoku/>
        <w:wordWrap/>
        <w:overflowPunct/>
        <w:topLinePunct w:val="0"/>
        <w:autoSpaceDE/>
        <w:autoSpaceDN/>
        <w:bidi w:val="0"/>
        <w:adjustRightInd w:val="0"/>
        <w:snapToGrid w:val="0"/>
        <w:spacing w:line="640" w:lineRule="exact"/>
        <w:ind w:firstLine="1320" w:firstLineChars="300"/>
        <w:jc w:val="both"/>
        <w:textAlignment w:val="auto"/>
        <w:rPr>
          <w:rFonts w:hint="eastAsia" w:ascii="方正小标宋简体" w:hAnsi="方正小标宋简体" w:eastAsia="方正小标宋简体" w:cs="方正小标宋简体"/>
          <w:b w:val="0"/>
          <w:bCs w:val="0"/>
          <w:sz w:val="44"/>
          <w:szCs w:val="44"/>
        </w:rPr>
      </w:pPr>
    </w:p>
    <w:p>
      <w:pPr>
        <w:keepNext w:val="0"/>
        <w:keepLines w:val="0"/>
        <w:pageBreakBefore w:val="0"/>
        <w:widowControl w:val="0"/>
        <w:kinsoku/>
        <w:wordWrap/>
        <w:overflowPunct/>
        <w:topLinePunct w:val="0"/>
        <w:autoSpaceDE/>
        <w:autoSpaceDN/>
        <w:bidi w:val="0"/>
        <w:adjustRightInd w:val="0"/>
        <w:snapToGrid w:val="0"/>
        <w:spacing w:line="640" w:lineRule="exact"/>
        <w:ind w:firstLine="1320" w:firstLineChars="300"/>
        <w:jc w:val="both"/>
        <w:textAlignment w:val="auto"/>
        <w:rPr>
          <w:rFonts w:hint="eastAsia" w:ascii="方正小标宋简体" w:hAnsi="方正小标宋简体" w:eastAsia="方正小标宋简体" w:cs="方正小标宋简体"/>
          <w:b w:val="0"/>
          <w:bCs w:val="0"/>
          <w:sz w:val="44"/>
          <w:szCs w:val="44"/>
        </w:rPr>
      </w:pPr>
    </w:p>
    <w:p>
      <w:pPr>
        <w:adjustRightInd w:val="0"/>
        <w:snapToGrid w:val="0"/>
        <w:spacing w:line="360" w:lineRule="auto"/>
        <w:jc w:val="center"/>
        <w:rPr>
          <w:rFonts w:hint="eastAsia" w:ascii="宋体" w:hAnsi="宋体" w:cs="宋体"/>
          <w:b/>
          <w:bCs/>
          <w:sz w:val="44"/>
          <w:szCs w:val="44"/>
        </w:rPr>
      </w:pPr>
    </w:p>
    <w:p>
      <w:pPr>
        <w:keepNext w:val="0"/>
        <w:keepLines w:val="0"/>
        <w:pageBreakBefore w:val="0"/>
        <w:widowControl w:val="0"/>
        <w:kinsoku/>
        <w:wordWrap/>
        <w:overflowPunct/>
        <w:topLinePunct w:val="0"/>
        <w:autoSpaceDE/>
        <w:autoSpaceDN/>
        <w:bidi w:val="0"/>
        <w:adjustRightInd w:val="0"/>
        <w:snapToGrid w:val="0"/>
        <w:spacing w:line="64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永州市文学艺术界联合会</w:t>
      </w:r>
    </w:p>
    <w:p>
      <w:pPr>
        <w:keepNext w:val="0"/>
        <w:keepLines w:val="0"/>
        <w:pageBreakBefore w:val="0"/>
        <w:widowControl w:val="0"/>
        <w:kinsoku/>
        <w:wordWrap/>
        <w:overflowPunct/>
        <w:topLinePunct w:val="0"/>
        <w:autoSpaceDE/>
        <w:autoSpaceDN/>
        <w:bidi w:val="0"/>
        <w:adjustRightInd w:val="0"/>
        <w:snapToGrid w:val="0"/>
        <w:spacing w:line="64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2018年度部门整体支出绩效评价报告</w:t>
      </w:r>
    </w:p>
    <w:p>
      <w:pPr>
        <w:adjustRightInd w:val="0"/>
        <w:snapToGrid w:val="0"/>
        <w:spacing w:line="360" w:lineRule="auto"/>
        <w:jc w:val="center"/>
        <w:rPr>
          <w:rFonts w:hint="eastAsia" w:ascii="宋体" w:hAnsi="宋体" w:cs="宋体"/>
          <w:b/>
          <w:bCs/>
          <w:sz w:val="32"/>
          <w:szCs w:val="32"/>
        </w:rPr>
      </w:pPr>
    </w:p>
    <w:p>
      <w:pPr>
        <w:keepNext w:val="0"/>
        <w:keepLines w:val="0"/>
        <w:pageBreakBefore w:val="0"/>
        <w:kinsoku/>
        <w:wordWrap/>
        <w:overflowPunct/>
        <w:topLinePunct w:val="0"/>
        <w:autoSpaceDE/>
        <w:autoSpaceDN/>
        <w:bidi w:val="0"/>
        <w:adjustRightInd/>
        <w:snapToGrid/>
        <w:spacing w:beforeAutospacing="0" w:line="600" w:lineRule="exact"/>
        <w:ind w:firstLine="640" w:firstLineChars="200"/>
        <w:textAlignment w:val="auto"/>
        <w:rPr>
          <w:rFonts w:hint="eastAsia" w:ascii="黑体" w:hAnsi="黑体" w:eastAsia="黑体" w:cs="黑体"/>
          <w:sz w:val="32"/>
          <w:szCs w:val="32"/>
        </w:rPr>
      </w:pPr>
      <w:bookmarkStart w:id="1" w:name="_Toc413785897"/>
      <w:r>
        <w:rPr>
          <w:rFonts w:hint="eastAsia" w:ascii="黑体" w:hAnsi="黑体" w:eastAsia="黑体" w:cs="黑体"/>
          <w:sz w:val="32"/>
          <w:szCs w:val="32"/>
        </w:rPr>
        <w:t>一、基本概况</w:t>
      </w:r>
      <w:bookmarkEnd w:id="1"/>
    </w:p>
    <w:p>
      <w:pPr>
        <w:keepNext w:val="0"/>
        <w:keepLines w:val="0"/>
        <w:pageBreakBefore w:val="0"/>
        <w:kinsoku/>
        <w:wordWrap/>
        <w:overflowPunct/>
        <w:topLinePunct w:val="0"/>
        <w:autoSpaceDE/>
        <w:autoSpaceDN/>
        <w:bidi w:val="0"/>
        <w:adjustRightInd/>
        <w:snapToGrid/>
        <w:spacing w:beforeAutospacing="0" w:line="600" w:lineRule="exact"/>
        <w:ind w:firstLine="640" w:firstLineChars="200"/>
        <w:textAlignment w:val="auto"/>
        <w:rPr>
          <w:rFonts w:hint="eastAsia" w:asciiTheme="majorEastAsia" w:hAnsiTheme="majorEastAsia" w:eastAsiaTheme="majorEastAsia"/>
          <w:sz w:val="32"/>
          <w:szCs w:val="32"/>
        </w:rPr>
      </w:pPr>
      <w:r>
        <w:rPr>
          <w:rFonts w:hint="eastAsia" w:asciiTheme="majorEastAsia" w:hAnsiTheme="majorEastAsia" w:eastAsiaTheme="majorEastAsia"/>
          <w:sz w:val="32"/>
          <w:szCs w:val="32"/>
        </w:rPr>
        <w:t>永州市文学艺术界联合会是党和政府联系广大文艺工作者的桥梁和纽带，正处级全额预算单位，参照公务员制度管理，财务核算执行行政单位会计制度。</w:t>
      </w:r>
    </w:p>
    <w:p>
      <w:pPr>
        <w:keepNext w:val="0"/>
        <w:keepLines w:val="0"/>
        <w:pageBreakBefore w:val="0"/>
        <w:kinsoku/>
        <w:wordWrap/>
        <w:overflowPunct/>
        <w:topLinePunct w:val="0"/>
        <w:autoSpaceDE/>
        <w:autoSpaceDN/>
        <w:bidi w:val="0"/>
        <w:adjustRightInd/>
        <w:snapToGrid/>
        <w:spacing w:beforeAutospacing="0" w:line="600" w:lineRule="exact"/>
        <w:ind w:firstLine="643" w:firstLineChars="200"/>
        <w:textAlignment w:val="auto"/>
        <w:rPr>
          <w:rFonts w:hint="eastAsia" w:ascii="宋体" w:hAnsi="宋体" w:eastAsia="宋体" w:cs="宋体"/>
          <w:b/>
          <w:bCs/>
          <w:sz w:val="32"/>
          <w:szCs w:val="32"/>
        </w:rPr>
      </w:pPr>
      <w:bookmarkStart w:id="2" w:name="_Toc413785898"/>
      <w:r>
        <w:rPr>
          <w:rFonts w:hint="eastAsia" w:ascii="宋体" w:hAnsi="宋体" w:eastAsia="宋体" w:cs="宋体"/>
          <w:b/>
          <w:bCs/>
          <w:sz w:val="32"/>
          <w:szCs w:val="32"/>
        </w:rPr>
        <w:t>（一）机构设置</w:t>
      </w:r>
      <w:bookmarkEnd w:id="2"/>
    </w:p>
    <w:p>
      <w:pPr>
        <w:keepNext w:val="0"/>
        <w:keepLines w:val="0"/>
        <w:pageBreakBefore w:val="0"/>
        <w:kinsoku/>
        <w:wordWrap/>
        <w:overflowPunct/>
        <w:topLinePunct w:val="0"/>
        <w:autoSpaceDE/>
        <w:autoSpaceDN/>
        <w:bidi w:val="0"/>
        <w:adjustRightInd/>
        <w:snapToGrid/>
        <w:spacing w:beforeAutospacing="0" w:line="600" w:lineRule="exact"/>
        <w:ind w:firstLine="640" w:firstLineChars="200"/>
        <w:textAlignment w:val="auto"/>
        <w:rPr>
          <w:rFonts w:hint="eastAsia" w:asciiTheme="majorEastAsia" w:hAnsiTheme="majorEastAsia" w:eastAsiaTheme="majorEastAsia"/>
          <w:sz w:val="32"/>
          <w:szCs w:val="32"/>
        </w:rPr>
      </w:pPr>
      <w:bookmarkStart w:id="3" w:name="_Toc413785899"/>
      <w:r>
        <w:rPr>
          <w:rFonts w:hint="eastAsia" w:asciiTheme="majorEastAsia" w:hAnsiTheme="majorEastAsia" w:eastAsiaTheme="majorEastAsia"/>
          <w:sz w:val="32"/>
          <w:szCs w:val="32"/>
        </w:rPr>
        <w:t>按照《永州市文联深化改革方案》（永办发[2018]8号）和《关于市文学艺术界联合会有关机构编制事项调整的批复》（永编办发[2018]89号）的批复，市文联内设机构设置为办公室（《潇湘》编辑部）、组织联络科（加挂网络文艺科牌子）、权益保护与行业建设科，市文体广电新闻出版局下设市书法院成建制划归市文联管理，下辖全市32个专业文艺家协会（市作家协会、市舞蹈家协会、市戏剧家协会、市曲艺家协会、市音乐家协会、市美术家协会、市摄影家协会、市民间文艺家协会、市国际标准舞协会、市老年书画协会、二胡协会、永州诗社、市硬笔书法家协会、市女书法家协会、市女书书法家协会、市女书说唱艺术协会、市交谊舞协会、市文艺评论家协会、市直书画家协会、市楹联协会、市演艺协会、市京剧协会、怀素书画院、永州潇湘文化艺术馆、市企业书法协会、楹联协会、九嶷山书画院、观赏石协会、潇湘国学院、市油画协会、市网络作家协会、市艺术收藏家协会）。</w:t>
      </w:r>
    </w:p>
    <w:p>
      <w:pPr>
        <w:keepNext w:val="0"/>
        <w:keepLines w:val="0"/>
        <w:pageBreakBefore w:val="0"/>
        <w:kinsoku/>
        <w:wordWrap/>
        <w:overflowPunct/>
        <w:topLinePunct w:val="0"/>
        <w:autoSpaceDE/>
        <w:autoSpaceDN/>
        <w:bidi w:val="0"/>
        <w:adjustRightInd/>
        <w:snapToGrid/>
        <w:spacing w:beforeAutospacing="0" w:line="600" w:lineRule="exact"/>
        <w:ind w:firstLine="643" w:firstLineChars="200"/>
        <w:textAlignment w:val="auto"/>
        <w:rPr>
          <w:rFonts w:hint="eastAsia" w:ascii="楷体_GB2312" w:hAnsi="楷体_GB2312" w:eastAsia="楷体_GB2312" w:cs="楷体_GB2312"/>
          <w:b/>
          <w:bCs/>
          <w:sz w:val="32"/>
          <w:szCs w:val="32"/>
        </w:rPr>
      </w:pPr>
      <w:r>
        <w:rPr>
          <w:rFonts w:hint="eastAsia" w:ascii="宋体" w:hAnsi="宋体" w:eastAsia="宋体" w:cs="宋体"/>
          <w:b/>
          <w:bCs/>
          <w:sz w:val="32"/>
          <w:szCs w:val="32"/>
        </w:rPr>
        <w:t>（二）人员编制</w:t>
      </w:r>
      <w:bookmarkEnd w:id="3"/>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jc w:val="both"/>
        <w:textAlignment w:val="auto"/>
        <w:rPr>
          <w:rFonts w:hint="eastAsia" w:cs="Times New Roman" w:asciiTheme="majorEastAsia" w:hAnsiTheme="majorEastAsia" w:eastAsiaTheme="majorEastAsia"/>
          <w:kern w:val="2"/>
          <w:sz w:val="32"/>
          <w:szCs w:val="32"/>
          <w:lang w:val="en-US" w:eastAsia="zh-CN" w:bidi="ar-SA"/>
        </w:rPr>
      </w:pPr>
      <w:bookmarkStart w:id="4" w:name="_Toc413785900"/>
      <w:r>
        <w:rPr>
          <w:rFonts w:hint="eastAsia" w:cs="Times New Roman" w:asciiTheme="majorEastAsia" w:hAnsiTheme="majorEastAsia" w:eastAsiaTheme="majorEastAsia"/>
          <w:kern w:val="2"/>
          <w:sz w:val="32"/>
          <w:szCs w:val="32"/>
          <w:lang w:val="en-US" w:eastAsia="zh-CN" w:bidi="ar-SA"/>
        </w:rPr>
        <w:t>市文联目前编制17个（其中参照公务员法管理全额拨款事业编12个，市书法院全额拨款事业编5个），现有在职参照公务员法管理全额拨款事业编8个，市书法院全额拨款事业编1个，退休人员6人，聘用人员3人，共计17人。市文联有小车编制1台。</w:t>
      </w:r>
    </w:p>
    <w:p>
      <w:pPr>
        <w:keepNext w:val="0"/>
        <w:keepLines w:val="0"/>
        <w:pageBreakBefore w:val="0"/>
        <w:kinsoku/>
        <w:wordWrap/>
        <w:overflowPunct/>
        <w:topLinePunct w:val="0"/>
        <w:autoSpaceDE/>
        <w:autoSpaceDN/>
        <w:bidi w:val="0"/>
        <w:adjustRightInd/>
        <w:snapToGrid/>
        <w:spacing w:beforeAutospacing="0" w:line="600" w:lineRule="exact"/>
        <w:ind w:firstLine="643" w:firstLineChars="200"/>
        <w:textAlignment w:val="auto"/>
        <w:rPr>
          <w:rFonts w:hint="eastAsia" w:ascii="宋体" w:hAnsi="宋体" w:eastAsia="宋体" w:cs="宋体"/>
          <w:b/>
          <w:bCs/>
          <w:sz w:val="32"/>
          <w:szCs w:val="32"/>
        </w:rPr>
      </w:pPr>
      <w:r>
        <w:rPr>
          <w:rFonts w:hint="eastAsia" w:ascii="宋体" w:hAnsi="宋体" w:eastAsia="宋体" w:cs="宋体"/>
          <w:b/>
          <w:bCs/>
          <w:sz w:val="32"/>
          <w:szCs w:val="32"/>
        </w:rPr>
        <w:t>（三）主要工作职能</w:t>
      </w:r>
      <w:bookmarkEnd w:id="4"/>
    </w:p>
    <w:p>
      <w:pPr>
        <w:keepNext w:val="0"/>
        <w:keepLines w:val="0"/>
        <w:pageBreakBefore w:val="0"/>
        <w:kinsoku/>
        <w:wordWrap/>
        <w:overflowPunct/>
        <w:topLinePunct w:val="0"/>
        <w:autoSpaceDE/>
        <w:autoSpaceDN/>
        <w:bidi w:val="0"/>
        <w:adjustRightInd/>
        <w:snapToGrid/>
        <w:spacing w:beforeAutospacing="0" w:line="600" w:lineRule="exact"/>
        <w:ind w:firstLine="640" w:firstLineChars="200"/>
        <w:textAlignment w:val="auto"/>
        <w:rPr>
          <w:rFonts w:hint="eastAsia" w:asciiTheme="majorEastAsia" w:hAnsiTheme="majorEastAsia" w:eastAsiaTheme="majorEastAsia"/>
          <w:sz w:val="32"/>
          <w:szCs w:val="32"/>
        </w:rPr>
      </w:pPr>
      <w:bookmarkStart w:id="5" w:name="_Toc413785901"/>
      <w:r>
        <w:rPr>
          <w:rFonts w:hint="eastAsia" w:asciiTheme="majorEastAsia" w:hAnsiTheme="majorEastAsia" w:eastAsiaTheme="majorEastAsia"/>
          <w:sz w:val="32"/>
          <w:szCs w:val="32"/>
        </w:rPr>
        <w:t>1、贯彻落实党的文艺方针，开展对县区文联和各文学艺术家协会的联络、协调、指导、服务工作，听取和反映文艺界的情况和意见。</w:t>
      </w:r>
    </w:p>
    <w:p>
      <w:pPr>
        <w:keepNext w:val="0"/>
        <w:keepLines w:val="0"/>
        <w:pageBreakBefore w:val="0"/>
        <w:kinsoku/>
        <w:wordWrap/>
        <w:overflowPunct/>
        <w:topLinePunct w:val="0"/>
        <w:autoSpaceDE/>
        <w:autoSpaceDN/>
        <w:bidi w:val="0"/>
        <w:adjustRightInd/>
        <w:snapToGrid/>
        <w:spacing w:beforeAutospacing="0" w:line="600" w:lineRule="exact"/>
        <w:ind w:firstLine="640" w:firstLineChars="200"/>
        <w:textAlignment w:val="auto"/>
        <w:rPr>
          <w:rFonts w:hint="eastAsia" w:asciiTheme="majorEastAsia" w:hAnsiTheme="majorEastAsia" w:eastAsiaTheme="majorEastAsia"/>
          <w:sz w:val="32"/>
          <w:szCs w:val="32"/>
        </w:rPr>
      </w:pPr>
      <w:r>
        <w:rPr>
          <w:rFonts w:hint="eastAsia" w:asciiTheme="majorEastAsia" w:hAnsiTheme="majorEastAsia" w:eastAsiaTheme="majorEastAsia"/>
          <w:sz w:val="32"/>
          <w:szCs w:val="32"/>
        </w:rPr>
        <w:t>2、组织召开全市文学艺术界代表大会，组织和管理全市文联系统的各文艺家协会，推动文艺的繁荣。</w:t>
      </w:r>
    </w:p>
    <w:p>
      <w:pPr>
        <w:keepNext w:val="0"/>
        <w:keepLines w:val="0"/>
        <w:pageBreakBefore w:val="0"/>
        <w:kinsoku/>
        <w:wordWrap/>
        <w:overflowPunct/>
        <w:topLinePunct w:val="0"/>
        <w:autoSpaceDE/>
        <w:autoSpaceDN/>
        <w:bidi w:val="0"/>
        <w:adjustRightInd/>
        <w:snapToGrid/>
        <w:spacing w:beforeAutospacing="0" w:line="600" w:lineRule="exact"/>
        <w:ind w:firstLine="640" w:firstLineChars="200"/>
        <w:textAlignment w:val="auto"/>
        <w:rPr>
          <w:rFonts w:hint="eastAsia" w:asciiTheme="majorEastAsia" w:hAnsiTheme="majorEastAsia" w:eastAsiaTheme="majorEastAsia"/>
          <w:sz w:val="32"/>
          <w:szCs w:val="32"/>
        </w:rPr>
      </w:pPr>
      <w:r>
        <w:rPr>
          <w:rFonts w:hint="eastAsia" w:asciiTheme="majorEastAsia" w:hAnsiTheme="majorEastAsia" w:eastAsiaTheme="majorEastAsia"/>
          <w:sz w:val="32"/>
          <w:szCs w:val="32"/>
        </w:rPr>
        <w:t>3、组织团体会员开展文艺创作、文艺评论、学术交流、人才培训和调研工作；主办和协同有关部门组织文艺活动和文艺评奖。</w:t>
      </w:r>
    </w:p>
    <w:p>
      <w:pPr>
        <w:keepNext w:val="0"/>
        <w:keepLines w:val="0"/>
        <w:pageBreakBefore w:val="0"/>
        <w:kinsoku/>
        <w:wordWrap/>
        <w:overflowPunct/>
        <w:topLinePunct w:val="0"/>
        <w:autoSpaceDE/>
        <w:autoSpaceDN/>
        <w:bidi w:val="0"/>
        <w:adjustRightInd/>
        <w:snapToGrid/>
        <w:spacing w:beforeAutospacing="0" w:line="600" w:lineRule="exact"/>
        <w:ind w:firstLine="640" w:firstLineChars="200"/>
        <w:textAlignment w:val="auto"/>
        <w:rPr>
          <w:rFonts w:hint="eastAsia" w:asciiTheme="majorEastAsia" w:hAnsiTheme="majorEastAsia" w:eastAsiaTheme="majorEastAsia"/>
          <w:sz w:val="32"/>
          <w:szCs w:val="32"/>
        </w:rPr>
      </w:pPr>
      <w:r>
        <w:rPr>
          <w:rFonts w:hint="eastAsia" w:asciiTheme="majorEastAsia" w:hAnsiTheme="majorEastAsia" w:eastAsiaTheme="majorEastAsia"/>
          <w:sz w:val="32"/>
          <w:szCs w:val="32"/>
        </w:rPr>
        <w:t>4、主办文艺期刊《潇湘》和微信公众平台“一脉湘水”。</w:t>
      </w:r>
    </w:p>
    <w:p>
      <w:pPr>
        <w:keepNext w:val="0"/>
        <w:keepLines w:val="0"/>
        <w:pageBreakBefore w:val="0"/>
        <w:kinsoku/>
        <w:wordWrap/>
        <w:overflowPunct/>
        <w:topLinePunct w:val="0"/>
        <w:autoSpaceDE/>
        <w:autoSpaceDN/>
        <w:bidi w:val="0"/>
        <w:adjustRightInd/>
        <w:snapToGrid/>
        <w:spacing w:beforeAutospacing="0" w:line="600" w:lineRule="exact"/>
        <w:ind w:firstLine="640" w:firstLineChars="200"/>
        <w:textAlignment w:val="auto"/>
        <w:rPr>
          <w:rFonts w:hint="eastAsia" w:asciiTheme="majorEastAsia" w:hAnsiTheme="majorEastAsia" w:eastAsiaTheme="majorEastAsia"/>
          <w:sz w:val="32"/>
          <w:szCs w:val="32"/>
        </w:rPr>
      </w:pPr>
      <w:r>
        <w:rPr>
          <w:rFonts w:hint="eastAsia" w:asciiTheme="majorEastAsia" w:hAnsiTheme="majorEastAsia" w:eastAsiaTheme="majorEastAsia"/>
          <w:sz w:val="32"/>
          <w:szCs w:val="32"/>
        </w:rPr>
        <w:t>5、协同有关部门联系、组织文艺界的文化交流活动，开展文艺界的联系和交流，宣传永州，推出有地域特色的文艺精品。</w:t>
      </w:r>
    </w:p>
    <w:p>
      <w:pPr>
        <w:keepNext w:val="0"/>
        <w:keepLines w:val="0"/>
        <w:pageBreakBefore w:val="0"/>
        <w:kinsoku/>
        <w:wordWrap/>
        <w:overflowPunct/>
        <w:topLinePunct w:val="0"/>
        <w:autoSpaceDE/>
        <w:autoSpaceDN/>
        <w:bidi w:val="0"/>
        <w:adjustRightInd/>
        <w:snapToGrid/>
        <w:spacing w:beforeAutospacing="0" w:line="600" w:lineRule="exact"/>
        <w:ind w:firstLine="640" w:firstLineChars="200"/>
        <w:textAlignment w:val="auto"/>
        <w:rPr>
          <w:rFonts w:hint="eastAsia" w:asciiTheme="majorEastAsia" w:hAnsiTheme="majorEastAsia" w:eastAsiaTheme="majorEastAsia"/>
          <w:sz w:val="32"/>
          <w:szCs w:val="32"/>
        </w:rPr>
      </w:pPr>
      <w:r>
        <w:rPr>
          <w:rFonts w:hint="eastAsia" w:asciiTheme="majorEastAsia" w:hAnsiTheme="majorEastAsia" w:eastAsiaTheme="majorEastAsia"/>
          <w:sz w:val="32"/>
          <w:szCs w:val="32"/>
        </w:rPr>
        <w:t>6、为文艺界和广大文艺工作者服务，维护文艺社团和文艺家知识产权等合法权益。</w:t>
      </w:r>
    </w:p>
    <w:p>
      <w:pPr>
        <w:keepNext w:val="0"/>
        <w:keepLines w:val="0"/>
        <w:pageBreakBefore w:val="0"/>
        <w:kinsoku/>
        <w:wordWrap/>
        <w:overflowPunct/>
        <w:topLinePunct w:val="0"/>
        <w:autoSpaceDE/>
        <w:autoSpaceDN/>
        <w:bidi w:val="0"/>
        <w:adjustRightInd/>
        <w:snapToGrid/>
        <w:spacing w:beforeAutospacing="0" w:line="600" w:lineRule="exact"/>
        <w:ind w:firstLine="640" w:firstLineChars="200"/>
        <w:textAlignment w:val="auto"/>
        <w:rPr>
          <w:rFonts w:hint="eastAsia" w:asciiTheme="majorEastAsia" w:hAnsiTheme="majorEastAsia" w:eastAsiaTheme="majorEastAsia"/>
          <w:sz w:val="32"/>
          <w:szCs w:val="32"/>
        </w:rPr>
      </w:pPr>
      <w:r>
        <w:rPr>
          <w:rFonts w:hint="eastAsia" w:asciiTheme="majorEastAsia" w:hAnsiTheme="majorEastAsia" w:eastAsiaTheme="majorEastAsia"/>
          <w:sz w:val="32"/>
          <w:szCs w:val="32"/>
        </w:rPr>
        <w:t>7、做好为团体会员服务的工作，帮助各团体会员改善文艺家的工作条件。</w:t>
      </w:r>
    </w:p>
    <w:p>
      <w:pPr>
        <w:keepNext w:val="0"/>
        <w:keepLines w:val="0"/>
        <w:pageBreakBefore w:val="0"/>
        <w:kinsoku/>
        <w:wordWrap/>
        <w:overflowPunct/>
        <w:topLinePunct w:val="0"/>
        <w:autoSpaceDE/>
        <w:autoSpaceDN/>
        <w:bidi w:val="0"/>
        <w:adjustRightInd/>
        <w:snapToGrid/>
        <w:spacing w:beforeAutospacing="0" w:line="600" w:lineRule="exact"/>
        <w:ind w:firstLine="640" w:firstLineChars="200"/>
        <w:textAlignment w:val="auto"/>
        <w:rPr>
          <w:rFonts w:hint="eastAsia" w:asciiTheme="majorEastAsia" w:hAnsiTheme="majorEastAsia" w:eastAsiaTheme="majorEastAsia"/>
          <w:sz w:val="32"/>
          <w:szCs w:val="32"/>
        </w:rPr>
      </w:pPr>
      <w:r>
        <w:rPr>
          <w:rFonts w:hint="eastAsia" w:asciiTheme="majorEastAsia" w:hAnsiTheme="majorEastAsia" w:eastAsiaTheme="majorEastAsia"/>
          <w:sz w:val="32"/>
          <w:szCs w:val="32"/>
        </w:rPr>
        <w:t>8、完成上级交办的其他任务。</w:t>
      </w:r>
    </w:p>
    <w:p>
      <w:pPr>
        <w:keepNext w:val="0"/>
        <w:keepLines w:val="0"/>
        <w:pageBreakBefore w:val="0"/>
        <w:kinsoku/>
        <w:wordWrap/>
        <w:overflowPunct/>
        <w:topLinePunct w:val="0"/>
        <w:autoSpaceDE/>
        <w:autoSpaceDN/>
        <w:bidi w:val="0"/>
        <w:adjustRightInd/>
        <w:snapToGrid/>
        <w:spacing w:beforeAutospacing="0" w:line="600" w:lineRule="exact"/>
        <w:ind w:firstLine="643" w:firstLineChars="200"/>
        <w:textAlignment w:val="auto"/>
        <w:rPr>
          <w:rFonts w:hint="eastAsia" w:ascii="宋体" w:hAnsi="宋体" w:eastAsia="宋体" w:cs="宋体"/>
          <w:b/>
          <w:bCs/>
          <w:sz w:val="32"/>
          <w:szCs w:val="32"/>
        </w:rPr>
      </w:pPr>
      <w:r>
        <w:rPr>
          <w:rFonts w:hint="eastAsia" w:ascii="宋体" w:hAnsi="宋体" w:eastAsia="宋体" w:cs="宋体"/>
          <w:b/>
          <w:bCs/>
          <w:sz w:val="32"/>
          <w:szCs w:val="32"/>
        </w:rPr>
        <w:t>（四）部门整体支出管理办法</w:t>
      </w:r>
      <w:bookmarkEnd w:id="5"/>
    </w:p>
    <w:p>
      <w:pPr>
        <w:keepNext w:val="0"/>
        <w:keepLines w:val="0"/>
        <w:pageBreakBefore w:val="0"/>
        <w:kinsoku/>
        <w:wordWrap/>
        <w:overflowPunct/>
        <w:topLinePunct w:val="0"/>
        <w:autoSpaceDE/>
        <w:autoSpaceDN/>
        <w:bidi w:val="0"/>
        <w:adjustRightInd/>
        <w:snapToGrid/>
        <w:spacing w:beforeAutospacing="0" w:line="600" w:lineRule="exact"/>
        <w:ind w:firstLine="640" w:firstLineChars="200"/>
        <w:textAlignment w:val="auto"/>
        <w:rPr>
          <w:rFonts w:hint="eastAsia" w:asciiTheme="majorEastAsia" w:hAnsiTheme="majorEastAsia" w:eastAsiaTheme="majorEastAsia"/>
          <w:sz w:val="32"/>
          <w:szCs w:val="32"/>
        </w:rPr>
      </w:pPr>
      <w:r>
        <w:rPr>
          <w:rFonts w:hint="eastAsia" w:asciiTheme="majorEastAsia" w:hAnsiTheme="majorEastAsia" w:eastAsiaTheme="majorEastAsia"/>
          <w:sz w:val="32"/>
          <w:szCs w:val="32"/>
        </w:rPr>
        <w:t>《财务管理制度》为加强部门整体支出管理，加强固定资产管理，提高资金和资产的使用效益，提高财务的精细化管理水平，在日常的管理工作之外，市文联制定了相关管理制度；为提高日常工作效益，提高理论学习能力，加强党风廉政建设，市文联办针对室务会会议、民主生活会议、学习中心组与干部职工学习、党风廉政建设等制定了相关管理制度，制度基本规范，但未能对制度更加精细化要求。</w:t>
      </w:r>
    </w:p>
    <w:p>
      <w:pPr>
        <w:keepNext w:val="0"/>
        <w:keepLines w:val="0"/>
        <w:pageBreakBefore w:val="0"/>
        <w:kinsoku/>
        <w:wordWrap/>
        <w:overflowPunct/>
        <w:topLinePunct w:val="0"/>
        <w:autoSpaceDE/>
        <w:autoSpaceDN/>
        <w:bidi w:val="0"/>
        <w:adjustRightInd/>
        <w:snapToGrid/>
        <w:spacing w:beforeAutospacing="0" w:line="600" w:lineRule="exact"/>
        <w:ind w:firstLine="640" w:firstLineChars="200"/>
        <w:textAlignment w:val="auto"/>
        <w:rPr>
          <w:rFonts w:hint="eastAsia" w:asciiTheme="majorEastAsia" w:hAnsiTheme="majorEastAsia" w:eastAsiaTheme="majorEastAsia"/>
          <w:sz w:val="32"/>
          <w:szCs w:val="32"/>
        </w:rPr>
      </w:pPr>
      <w:r>
        <w:rPr>
          <w:rFonts w:hint="eastAsia" w:asciiTheme="majorEastAsia" w:hAnsiTheme="majorEastAsia" w:eastAsiaTheme="majorEastAsia"/>
          <w:sz w:val="32"/>
          <w:szCs w:val="32"/>
        </w:rPr>
        <w:t>财务管理制度基本规范，财务管理制度主要从资金申报、资金使用和管理、医药费管理、福利费管理、差旅费管理、交通费补助、招待费管理、文印费管理、财务开支审批报账、财产物资管理和车辆管理制定了办法和规定，尽量实现财务精细化管理要求。</w:t>
      </w:r>
    </w:p>
    <w:p>
      <w:pPr>
        <w:keepNext w:val="0"/>
        <w:keepLines w:val="0"/>
        <w:pageBreakBefore w:val="0"/>
        <w:kinsoku/>
        <w:wordWrap/>
        <w:overflowPunct/>
        <w:topLinePunct w:val="0"/>
        <w:autoSpaceDE/>
        <w:autoSpaceDN/>
        <w:bidi w:val="0"/>
        <w:adjustRightInd/>
        <w:snapToGrid/>
        <w:spacing w:beforeAutospacing="0" w:line="600" w:lineRule="exact"/>
        <w:ind w:firstLine="640" w:firstLineChars="200"/>
        <w:textAlignment w:val="auto"/>
        <w:rPr>
          <w:rFonts w:hint="eastAsia" w:asciiTheme="majorEastAsia" w:hAnsiTheme="majorEastAsia" w:eastAsiaTheme="majorEastAsia"/>
          <w:sz w:val="32"/>
          <w:szCs w:val="32"/>
        </w:rPr>
      </w:pPr>
      <w:r>
        <w:rPr>
          <w:rFonts w:hint="eastAsia" w:asciiTheme="majorEastAsia" w:hAnsiTheme="majorEastAsia" w:eastAsiaTheme="majorEastAsia"/>
          <w:sz w:val="32"/>
          <w:szCs w:val="32"/>
        </w:rPr>
        <w:t>《接待工作制度》：规范了接待范围、接待标准和接待程序，制度制定较为完善。</w:t>
      </w:r>
    </w:p>
    <w:p>
      <w:pPr>
        <w:keepNext w:val="0"/>
        <w:keepLines w:val="0"/>
        <w:pageBreakBefore w:val="0"/>
        <w:kinsoku/>
        <w:wordWrap/>
        <w:overflowPunct/>
        <w:topLinePunct w:val="0"/>
        <w:autoSpaceDE/>
        <w:autoSpaceDN/>
        <w:bidi w:val="0"/>
        <w:adjustRightInd/>
        <w:snapToGrid/>
        <w:spacing w:beforeAutospacing="0" w:line="600" w:lineRule="exact"/>
        <w:ind w:firstLine="640" w:firstLineChars="200"/>
        <w:textAlignment w:val="auto"/>
        <w:rPr>
          <w:rFonts w:hint="eastAsia" w:ascii="黑体" w:hAnsi="黑体" w:eastAsia="黑体" w:cs="黑体"/>
          <w:sz w:val="32"/>
          <w:szCs w:val="32"/>
        </w:rPr>
      </w:pPr>
      <w:bookmarkStart w:id="6" w:name="_Toc413785902"/>
      <w:r>
        <w:rPr>
          <w:rFonts w:hint="eastAsia" w:ascii="黑体" w:hAnsi="黑体" w:eastAsia="黑体" w:cs="黑体"/>
          <w:sz w:val="32"/>
          <w:szCs w:val="32"/>
        </w:rPr>
        <w:t>二、部门整体支出规模、使用方向和内容</w:t>
      </w:r>
      <w:bookmarkEnd w:id="6"/>
    </w:p>
    <w:p>
      <w:pPr>
        <w:keepNext w:val="0"/>
        <w:keepLines w:val="0"/>
        <w:pageBreakBefore w:val="0"/>
        <w:kinsoku/>
        <w:wordWrap/>
        <w:overflowPunct/>
        <w:topLinePunct w:val="0"/>
        <w:autoSpaceDE/>
        <w:autoSpaceDN/>
        <w:bidi w:val="0"/>
        <w:adjustRightInd/>
        <w:snapToGrid/>
        <w:spacing w:beforeAutospacing="0" w:line="600" w:lineRule="exact"/>
        <w:ind w:firstLine="643" w:firstLineChars="200"/>
        <w:textAlignment w:val="auto"/>
        <w:rPr>
          <w:rFonts w:hint="eastAsia" w:ascii="宋体" w:hAnsi="宋体" w:eastAsia="宋体" w:cs="宋体"/>
          <w:b/>
          <w:bCs/>
          <w:sz w:val="32"/>
          <w:szCs w:val="32"/>
        </w:rPr>
      </w:pPr>
      <w:bookmarkStart w:id="7" w:name="_Toc413785903"/>
      <w:r>
        <w:rPr>
          <w:rFonts w:hint="eastAsia" w:ascii="宋体" w:hAnsi="宋体" w:eastAsia="宋体" w:cs="宋体"/>
          <w:b/>
          <w:bCs/>
          <w:sz w:val="32"/>
          <w:szCs w:val="32"/>
        </w:rPr>
        <w:t>（一）年度预算收支情况</w:t>
      </w:r>
      <w:bookmarkEnd w:id="7"/>
    </w:p>
    <w:p>
      <w:pPr>
        <w:keepNext w:val="0"/>
        <w:keepLines w:val="0"/>
        <w:pageBreakBefore w:val="0"/>
        <w:widowControl w:val="0"/>
        <w:kinsoku/>
        <w:wordWrap/>
        <w:overflowPunct/>
        <w:topLinePunct w:val="0"/>
        <w:autoSpaceDE/>
        <w:autoSpaceDN/>
        <w:bidi w:val="0"/>
        <w:adjustRightInd/>
        <w:snapToGrid/>
        <w:spacing w:beforeAutospacing="0" w:line="600" w:lineRule="exact"/>
        <w:ind w:firstLine="640" w:firstLineChars="200"/>
        <w:textAlignment w:val="auto"/>
        <w:rPr>
          <w:rFonts w:hint="eastAsia" w:asciiTheme="majorEastAsia" w:hAnsiTheme="majorEastAsia" w:eastAsiaTheme="majorEastAsia"/>
          <w:sz w:val="32"/>
          <w:szCs w:val="32"/>
        </w:rPr>
      </w:pPr>
      <w:r>
        <w:rPr>
          <w:rFonts w:hint="eastAsia" w:asciiTheme="majorEastAsia" w:hAnsiTheme="majorEastAsia" w:eastAsiaTheme="majorEastAsia"/>
          <w:sz w:val="32"/>
          <w:szCs w:val="32"/>
        </w:rPr>
        <w:t>1、年初预算收支情况</w:t>
      </w:r>
    </w:p>
    <w:p>
      <w:pPr>
        <w:keepNext w:val="0"/>
        <w:keepLines w:val="0"/>
        <w:pageBreakBefore w:val="0"/>
        <w:kinsoku/>
        <w:wordWrap/>
        <w:overflowPunct/>
        <w:topLinePunct w:val="0"/>
        <w:autoSpaceDE/>
        <w:autoSpaceDN/>
        <w:bidi w:val="0"/>
        <w:adjustRightInd/>
        <w:snapToGrid/>
        <w:spacing w:beforeAutospacing="0" w:line="600" w:lineRule="exact"/>
        <w:ind w:firstLine="640" w:firstLineChars="200"/>
        <w:textAlignment w:val="auto"/>
        <w:rPr>
          <w:rFonts w:hint="eastAsia" w:asciiTheme="majorEastAsia" w:hAnsiTheme="majorEastAsia" w:eastAsiaTheme="majorEastAsia"/>
          <w:sz w:val="32"/>
          <w:szCs w:val="32"/>
        </w:rPr>
      </w:pPr>
      <w:r>
        <w:rPr>
          <w:rFonts w:hint="eastAsia" w:asciiTheme="majorEastAsia" w:hAnsiTheme="majorEastAsia" w:eastAsiaTheme="majorEastAsia"/>
          <w:sz w:val="32"/>
          <w:szCs w:val="32"/>
        </w:rPr>
        <w:t>根据市文联提供的预算申报资料，2018年度市文联预算收支情况如下表：</w:t>
      </w:r>
    </w:p>
    <w:tbl>
      <w:tblPr>
        <w:tblStyle w:val="9"/>
        <w:tblW w:w="0" w:type="auto"/>
        <w:tblInd w:w="0" w:type="dxa"/>
        <w:tblBorders>
          <w:top w:val="single" w:color="000000" w:sz="8" w:space="0"/>
          <w:left w:val="none" w:color="auto" w:sz="0" w:space="0"/>
          <w:bottom w:val="single" w:color="000000" w:sz="8"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2445"/>
        <w:gridCol w:w="2279"/>
        <w:gridCol w:w="2279"/>
        <w:gridCol w:w="1519"/>
      </w:tblGrid>
      <w:tr>
        <w:tblPrEx>
          <w:tblBorders>
            <w:top w:val="single" w:color="000000" w:sz="8" w:space="0"/>
            <w:left w:val="none" w:color="auto" w:sz="0" w:space="0"/>
            <w:bottom w:val="single" w:color="000000"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54" w:hRule="atLeast"/>
        </w:trPr>
        <w:tc>
          <w:tcPr>
            <w:tcW w:w="2445"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预算项目</w:t>
            </w:r>
          </w:p>
        </w:tc>
        <w:tc>
          <w:tcPr>
            <w:tcW w:w="2279"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基本支出（万元）</w:t>
            </w:r>
          </w:p>
        </w:tc>
        <w:tc>
          <w:tcPr>
            <w:tcW w:w="2279"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项目支出（万元）</w:t>
            </w:r>
          </w:p>
        </w:tc>
        <w:tc>
          <w:tcPr>
            <w:tcW w:w="1519"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合计（万元）</w:t>
            </w:r>
          </w:p>
        </w:tc>
      </w:tr>
      <w:tr>
        <w:tblPrEx>
          <w:tblBorders>
            <w:top w:val="single" w:color="000000" w:sz="8" w:space="0"/>
            <w:left w:val="none" w:color="auto" w:sz="0" w:space="0"/>
            <w:bottom w:val="single" w:color="000000"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54" w:hRule="atLeast"/>
        </w:trPr>
        <w:tc>
          <w:tcPr>
            <w:tcW w:w="2445"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上年结余</w:t>
            </w:r>
          </w:p>
        </w:tc>
        <w:tc>
          <w:tcPr>
            <w:tcW w:w="2279"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ind w:firstLine="480" w:firstLineChars="200"/>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c>
          <w:tcPr>
            <w:tcW w:w="2279"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ind w:firstLine="480" w:firstLineChars="200"/>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c>
          <w:tcPr>
            <w:tcW w:w="1519"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ind w:firstLine="480" w:firstLineChars="200"/>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r>
      <w:tr>
        <w:tblPrEx>
          <w:tblBorders>
            <w:top w:val="single" w:color="000000" w:sz="8" w:space="0"/>
            <w:left w:val="none" w:color="auto" w:sz="0" w:space="0"/>
            <w:bottom w:val="single" w:color="000000"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54" w:hRule="atLeast"/>
        </w:trPr>
        <w:tc>
          <w:tcPr>
            <w:tcW w:w="2445"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本年预算</w:t>
            </w:r>
          </w:p>
        </w:tc>
        <w:tc>
          <w:tcPr>
            <w:tcW w:w="2279"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ind w:firstLine="480" w:firstLineChars="200"/>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81.29</w:t>
            </w:r>
          </w:p>
        </w:tc>
        <w:tc>
          <w:tcPr>
            <w:tcW w:w="2279"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ind w:firstLine="480" w:firstLineChars="200"/>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60</w:t>
            </w:r>
          </w:p>
        </w:tc>
        <w:tc>
          <w:tcPr>
            <w:tcW w:w="1519"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141.29</w:t>
            </w:r>
          </w:p>
        </w:tc>
      </w:tr>
      <w:tr>
        <w:tblPrEx>
          <w:tblBorders>
            <w:top w:val="single" w:color="000000" w:sz="8" w:space="0"/>
            <w:left w:val="none" w:color="auto" w:sz="0" w:space="0"/>
            <w:bottom w:val="single" w:color="000000"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54" w:hRule="atLeast"/>
        </w:trPr>
        <w:tc>
          <w:tcPr>
            <w:tcW w:w="2445"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本年追加</w:t>
            </w:r>
          </w:p>
        </w:tc>
        <w:tc>
          <w:tcPr>
            <w:tcW w:w="2279"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ind w:firstLine="480" w:firstLineChars="200"/>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17.1157</w:t>
            </w:r>
          </w:p>
        </w:tc>
        <w:tc>
          <w:tcPr>
            <w:tcW w:w="2279"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ind w:firstLine="480" w:firstLineChars="200"/>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118.3</w:t>
            </w:r>
          </w:p>
        </w:tc>
        <w:tc>
          <w:tcPr>
            <w:tcW w:w="1519"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135.4157</w:t>
            </w:r>
          </w:p>
        </w:tc>
      </w:tr>
      <w:tr>
        <w:tblPrEx>
          <w:tblBorders>
            <w:top w:val="single" w:color="000000" w:sz="8" w:space="0"/>
            <w:left w:val="none" w:color="auto" w:sz="0" w:space="0"/>
            <w:bottom w:val="single" w:color="000000"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54" w:hRule="atLeast"/>
        </w:trPr>
        <w:tc>
          <w:tcPr>
            <w:tcW w:w="2445"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本年可用指标</w:t>
            </w:r>
          </w:p>
        </w:tc>
        <w:tc>
          <w:tcPr>
            <w:tcW w:w="2279"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ind w:firstLine="480" w:firstLineChars="200"/>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98.4057</w:t>
            </w:r>
          </w:p>
        </w:tc>
        <w:tc>
          <w:tcPr>
            <w:tcW w:w="2279"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ind w:firstLine="480" w:firstLineChars="200"/>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178.3</w:t>
            </w:r>
          </w:p>
        </w:tc>
        <w:tc>
          <w:tcPr>
            <w:tcW w:w="1519"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276.7057</w:t>
            </w:r>
          </w:p>
        </w:tc>
      </w:tr>
    </w:tbl>
    <w:p>
      <w:pPr>
        <w:keepNext w:val="0"/>
        <w:keepLines w:val="0"/>
        <w:pageBreakBefore w:val="0"/>
        <w:kinsoku/>
        <w:wordWrap/>
        <w:overflowPunct/>
        <w:topLinePunct w:val="0"/>
        <w:autoSpaceDE/>
        <w:autoSpaceDN/>
        <w:bidi w:val="0"/>
        <w:adjustRightInd/>
        <w:snapToGrid/>
        <w:spacing w:beforeAutospacing="0" w:line="600" w:lineRule="exact"/>
        <w:ind w:firstLine="640" w:firstLineChars="200"/>
        <w:textAlignment w:val="auto"/>
        <w:rPr>
          <w:rFonts w:hint="eastAsia" w:asciiTheme="majorEastAsia" w:hAnsiTheme="majorEastAsia" w:eastAsiaTheme="majorEastAsia"/>
          <w:sz w:val="32"/>
          <w:szCs w:val="32"/>
        </w:rPr>
      </w:pPr>
      <w:r>
        <w:rPr>
          <w:rFonts w:hint="eastAsia" w:asciiTheme="majorEastAsia" w:hAnsiTheme="majorEastAsia" w:eastAsiaTheme="majorEastAsia"/>
          <w:sz w:val="32"/>
          <w:szCs w:val="32"/>
        </w:rPr>
        <w:t>从上表反映，考虑到上年结余和本年追加，本年总预算141.29万元，其中基本支出81.29万元，项目支出60万元；总支出276.7057万元，其中基本支出98.4057万元，所占比例35.5%；项目支出178.3万元，所占比例64.5%。</w:t>
      </w:r>
    </w:p>
    <w:p>
      <w:pPr>
        <w:keepNext w:val="0"/>
        <w:keepLines w:val="0"/>
        <w:pageBreakBefore w:val="0"/>
        <w:kinsoku/>
        <w:wordWrap/>
        <w:overflowPunct/>
        <w:topLinePunct w:val="0"/>
        <w:autoSpaceDE/>
        <w:autoSpaceDN/>
        <w:bidi w:val="0"/>
        <w:adjustRightInd/>
        <w:snapToGrid/>
        <w:spacing w:beforeAutospacing="0" w:line="600" w:lineRule="exact"/>
        <w:ind w:firstLine="640" w:firstLineChars="200"/>
        <w:textAlignment w:val="auto"/>
        <w:rPr>
          <w:rFonts w:hint="eastAsia" w:asciiTheme="majorEastAsia" w:hAnsiTheme="majorEastAsia" w:eastAsiaTheme="majorEastAsia"/>
          <w:sz w:val="32"/>
          <w:szCs w:val="32"/>
        </w:rPr>
      </w:pPr>
      <w:r>
        <w:rPr>
          <w:rFonts w:hint="eastAsia" w:asciiTheme="majorEastAsia" w:hAnsiTheme="majorEastAsia" w:eastAsiaTheme="majorEastAsia"/>
          <w:sz w:val="32"/>
          <w:szCs w:val="32"/>
        </w:rPr>
        <w:t>2、年度财政预算整体支出使用范围、方向和内容</w:t>
      </w:r>
    </w:p>
    <w:p>
      <w:pPr>
        <w:keepNext w:val="0"/>
        <w:keepLines w:val="0"/>
        <w:pageBreakBefore w:val="0"/>
        <w:kinsoku/>
        <w:wordWrap/>
        <w:overflowPunct/>
        <w:topLinePunct w:val="0"/>
        <w:autoSpaceDE/>
        <w:autoSpaceDN/>
        <w:bidi w:val="0"/>
        <w:adjustRightInd/>
        <w:snapToGrid/>
        <w:spacing w:beforeAutospacing="0" w:line="600" w:lineRule="exact"/>
        <w:ind w:firstLine="640" w:firstLineChars="200"/>
        <w:textAlignment w:val="auto"/>
        <w:rPr>
          <w:rFonts w:hint="eastAsia" w:asciiTheme="majorEastAsia" w:hAnsiTheme="majorEastAsia" w:eastAsiaTheme="majorEastAsia"/>
          <w:sz w:val="32"/>
          <w:szCs w:val="32"/>
        </w:rPr>
      </w:pPr>
      <w:r>
        <w:rPr>
          <w:rFonts w:hint="eastAsia" w:asciiTheme="majorEastAsia" w:hAnsiTheme="majorEastAsia" w:eastAsiaTheme="majorEastAsia"/>
          <w:sz w:val="32"/>
          <w:szCs w:val="32"/>
        </w:rPr>
        <w:t>（1）、财政整体支出如下：</w:t>
      </w:r>
    </w:p>
    <w:tbl>
      <w:tblPr>
        <w:tblStyle w:val="9"/>
        <w:tblW w:w="0" w:type="auto"/>
        <w:tblInd w:w="0" w:type="dxa"/>
        <w:tblBorders>
          <w:top w:val="single" w:color="auto" w:sz="8" w:space="0"/>
          <w:left w:val="none" w:color="auto" w:sz="0" w:space="0"/>
          <w:bottom w:val="single" w:color="auto" w:sz="8"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2864"/>
        <w:gridCol w:w="2535"/>
        <w:gridCol w:w="1604"/>
        <w:gridCol w:w="1519"/>
      </w:tblGrid>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604" w:hRule="exact"/>
        </w:trPr>
        <w:tc>
          <w:tcPr>
            <w:tcW w:w="2864"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支出项目</w:t>
            </w:r>
          </w:p>
        </w:tc>
        <w:tc>
          <w:tcPr>
            <w:tcW w:w="2535"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基本支出（万元）</w:t>
            </w:r>
          </w:p>
        </w:tc>
        <w:tc>
          <w:tcPr>
            <w:tcW w:w="1604"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项目支出（万元）</w:t>
            </w:r>
          </w:p>
        </w:tc>
        <w:tc>
          <w:tcPr>
            <w:tcW w:w="1519"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合计（万元）</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635" w:hRule="exact"/>
        </w:trPr>
        <w:tc>
          <w:tcPr>
            <w:tcW w:w="2864"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工资福利支出</w:t>
            </w:r>
          </w:p>
        </w:tc>
        <w:tc>
          <w:tcPr>
            <w:tcW w:w="2535"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75.2957</w:t>
            </w:r>
          </w:p>
        </w:tc>
        <w:tc>
          <w:tcPr>
            <w:tcW w:w="1604"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c>
          <w:tcPr>
            <w:tcW w:w="1519"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75.2957</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644" w:hRule="exact"/>
        </w:trPr>
        <w:tc>
          <w:tcPr>
            <w:tcW w:w="2864"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商品和服务支出</w:t>
            </w:r>
          </w:p>
        </w:tc>
        <w:tc>
          <w:tcPr>
            <w:tcW w:w="2535"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21</w:t>
            </w:r>
          </w:p>
        </w:tc>
        <w:tc>
          <w:tcPr>
            <w:tcW w:w="1604"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178.3</w:t>
            </w:r>
          </w:p>
        </w:tc>
        <w:tc>
          <w:tcPr>
            <w:tcW w:w="1519"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199.30</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658" w:hRule="exact"/>
        </w:trPr>
        <w:tc>
          <w:tcPr>
            <w:tcW w:w="2864"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个人与家庭支出</w:t>
            </w:r>
          </w:p>
        </w:tc>
        <w:tc>
          <w:tcPr>
            <w:tcW w:w="2535"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2.11</w:t>
            </w:r>
          </w:p>
        </w:tc>
        <w:tc>
          <w:tcPr>
            <w:tcW w:w="1604"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c>
          <w:tcPr>
            <w:tcW w:w="1519"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2.11</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654" w:hRule="exact"/>
        </w:trPr>
        <w:tc>
          <w:tcPr>
            <w:tcW w:w="2864"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专户非税收入支出</w:t>
            </w:r>
          </w:p>
        </w:tc>
        <w:tc>
          <w:tcPr>
            <w:tcW w:w="2535"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c>
          <w:tcPr>
            <w:tcW w:w="1604"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c>
          <w:tcPr>
            <w:tcW w:w="1519"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639" w:hRule="exact"/>
        </w:trPr>
        <w:tc>
          <w:tcPr>
            <w:tcW w:w="2864"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合计</w:t>
            </w:r>
          </w:p>
        </w:tc>
        <w:tc>
          <w:tcPr>
            <w:tcW w:w="2535"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98.4057</w:t>
            </w:r>
          </w:p>
        </w:tc>
        <w:tc>
          <w:tcPr>
            <w:tcW w:w="1604"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178.3</w:t>
            </w:r>
          </w:p>
        </w:tc>
        <w:tc>
          <w:tcPr>
            <w:tcW w:w="1519"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276.7057</w:t>
            </w:r>
          </w:p>
        </w:tc>
      </w:tr>
    </w:tbl>
    <w:p>
      <w:pPr>
        <w:keepNext w:val="0"/>
        <w:keepLines w:val="0"/>
        <w:pageBreakBefore w:val="0"/>
        <w:widowControl w:val="0"/>
        <w:kinsoku/>
        <w:wordWrap/>
        <w:overflowPunct/>
        <w:topLinePunct w:val="0"/>
        <w:autoSpaceDE/>
        <w:autoSpaceDN/>
        <w:bidi w:val="0"/>
        <w:adjustRightInd/>
        <w:snapToGrid/>
        <w:spacing w:beforeAutospacing="0" w:line="600" w:lineRule="exact"/>
        <w:ind w:firstLine="640" w:firstLineChars="200"/>
        <w:textAlignment w:val="auto"/>
        <w:rPr>
          <w:rFonts w:hint="eastAsia" w:asciiTheme="majorEastAsia" w:hAnsiTheme="majorEastAsia" w:eastAsiaTheme="majorEastAsia"/>
          <w:sz w:val="32"/>
          <w:szCs w:val="32"/>
        </w:rPr>
      </w:pPr>
      <w:r>
        <w:rPr>
          <w:rFonts w:hint="eastAsia" w:asciiTheme="majorEastAsia" w:hAnsiTheme="majorEastAsia" w:eastAsiaTheme="majorEastAsia"/>
          <w:sz w:val="32"/>
          <w:szCs w:val="32"/>
        </w:rPr>
        <w:t>从上表可以清楚的反映，本年未财政预算实际支出276.70573万元，其中：基本支出98.4057万元，所占比例35.5%；项目支出178.3万元， 所占比例64.5%；在基本支出中工资福利支出75.2957万元，商品服务支出21万元</w:t>
      </w:r>
      <w:bookmarkStart w:id="8" w:name="_Toc413785904"/>
      <w:r>
        <w:rPr>
          <w:rFonts w:hint="eastAsia" w:asciiTheme="majorEastAsia" w:hAnsiTheme="majorEastAsia" w:eastAsiaTheme="majorEastAsia"/>
          <w:sz w:val="32"/>
          <w:szCs w:val="32"/>
        </w:rPr>
        <w:t>。</w:t>
      </w:r>
    </w:p>
    <w:p>
      <w:pPr>
        <w:keepNext w:val="0"/>
        <w:keepLines w:val="0"/>
        <w:pageBreakBefore w:val="0"/>
        <w:widowControl w:val="0"/>
        <w:kinsoku/>
        <w:wordWrap/>
        <w:overflowPunct/>
        <w:topLinePunct w:val="0"/>
        <w:autoSpaceDE/>
        <w:autoSpaceDN/>
        <w:bidi w:val="0"/>
        <w:adjustRightInd/>
        <w:snapToGrid/>
        <w:spacing w:beforeAutospacing="0" w:line="600" w:lineRule="exact"/>
        <w:ind w:firstLine="643" w:firstLineChars="200"/>
        <w:textAlignment w:val="auto"/>
        <w:rPr>
          <w:rFonts w:hint="eastAsia" w:ascii="宋体" w:hAnsi="宋体" w:eastAsia="宋体" w:cs="宋体"/>
          <w:b/>
          <w:bCs/>
          <w:sz w:val="32"/>
          <w:szCs w:val="32"/>
        </w:rPr>
      </w:pPr>
      <w:r>
        <w:rPr>
          <w:rFonts w:hint="eastAsia" w:ascii="宋体" w:hAnsi="宋体" w:eastAsia="宋体" w:cs="宋体"/>
          <w:b/>
          <w:bCs/>
          <w:sz w:val="32"/>
          <w:szCs w:val="32"/>
        </w:rPr>
        <w:t>（二）财政预算收支决算结余情况</w:t>
      </w:r>
      <w:bookmarkEnd w:id="8"/>
    </w:p>
    <w:p>
      <w:pPr>
        <w:keepNext w:val="0"/>
        <w:keepLines w:val="0"/>
        <w:pageBreakBefore w:val="0"/>
        <w:widowControl w:val="0"/>
        <w:kinsoku/>
        <w:wordWrap/>
        <w:overflowPunct/>
        <w:topLinePunct w:val="0"/>
        <w:autoSpaceDE/>
        <w:autoSpaceDN/>
        <w:bidi w:val="0"/>
        <w:adjustRightInd/>
        <w:snapToGrid/>
        <w:spacing w:beforeAutospacing="0" w:line="600" w:lineRule="exact"/>
        <w:ind w:firstLine="640" w:firstLineChars="200"/>
        <w:textAlignment w:val="auto"/>
        <w:rPr>
          <w:rFonts w:hint="eastAsia" w:asciiTheme="majorEastAsia" w:hAnsiTheme="majorEastAsia" w:eastAsiaTheme="majorEastAsia"/>
          <w:sz w:val="32"/>
          <w:szCs w:val="32"/>
        </w:rPr>
      </w:pPr>
      <w:r>
        <w:rPr>
          <w:rFonts w:hint="eastAsia" w:asciiTheme="majorEastAsia" w:hAnsiTheme="majorEastAsia" w:eastAsiaTheme="majorEastAsia"/>
          <w:sz w:val="32"/>
          <w:szCs w:val="32"/>
        </w:rPr>
        <w:t>1、年度预算收入决算情况</w:t>
      </w:r>
    </w:p>
    <w:p>
      <w:pPr>
        <w:keepNext w:val="0"/>
        <w:keepLines w:val="0"/>
        <w:pageBreakBefore w:val="0"/>
        <w:kinsoku/>
        <w:wordWrap/>
        <w:overflowPunct/>
        <w:topLinePunct w:val="0"/>
        <w:autoSpaceDE/>
        <w:autoSpaceDN/>
        <w:bidi w:val="0"/>
        <w:adjustRightInd/>
        <w:snapToGrid/>
        <w:spacing w:beforeAutospacing="0" w:line="600" w:lineRule="exact"/>
        <w:ind w:firstLine="640" w:firstLineChars="200"/>
        <w:jc w:val="right"/>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32"/>
          <w:szCs w:val="32"/>
        </w:rPr>
        <w:t xml:space="preserve">                                                        </w:t>
      </w:r>
      <w:r>
        <w:rPr>
          <w:rFonts w:hint="eastAsia" w:asciiTheme="majorEastAsia" w:hAnsiTheme="majorEastAsia" w:eastAsiaTheme="majorEastAsia"/>
          <w:sz w:val="24"/>
          <w:szCs w:val="24"/>
        </w:rPr>
        <w:t>单位：万元</w:t>
      </w:r>
    </w:p>
    <w:tbl>
      <w:tblPr>
        <w:tblStyle w:val="9"/>
        <w:tblW w:w="0" w:type="auto"/>
        <w:tblInd w:w="0" w:type="dxa"/>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2204"/>
        <w:gridCol w:w="1186"/>
        <w:gridCol w:w="1301"/>
        <w:gridCol w:w="1300"/>
        <w:gridCol w:w="1179"/>
        <w:gridCol w:w="1352"/>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849" w:hRule="exact"/>
        </w:trPr>
        <w:tc>
          <w:tcPr>
            <w:tcW w:w="2204"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收入来源</w:t>
            </w:r>
          </w:p>
        </w:tc>
        <w:tc>
          <w:tcPr>
            <w:tcW w:w="1186"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预算金额</w:t>
            </w:r>
          </w:p>
        </w:tc>
        <w:tc>
          <w:tcPr>
            <w:tcW w:w="1301"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决算金额</w:t>
            </w:r>
          </w:p>
        </w:tc>
        <w:tc>
          <w:tcPr>
            <w:tcW w:w="1300"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本年结余</w:t>
            </w:r>
          </w:p>
        </w:tc>
        <w:tc>
          <w:tcPr>
            <w:tcW w:w="1179"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上年结余</w:t>
            </w:r>
          </w:p>
        </w:tc>
        <w:tc>
          <w:tcPr>
            <w:tcW w:w="1352"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结余增加</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654" w:hRule="exact"/>
        </w:trPr>
        <w:tc>
          <w:tcPr>
            <w:tcW w:w="2204"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财政拨款收入</w:t>
            </w:r>
          </w:p>
        </w:tc>
        <w:tc>
          <w:tcPr>
            <w:tcW w:w="1186"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141.29</w:t>
            </w:r>
          </w:p>
        </w:tc>
        <w:tc>
          <w:tcPr>
            <w:tcW w:w="1301"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276.7057</w:t>
            </w:r>
          </w:p>
        </w:tc>
        <w:tc>
          <w:tcPr>
            <w:tcW w:w="1300"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c>
          <w:tcPr>
            <w:tcW w:w="1179"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c>
          <w:tcPr>
            <w:tcW w:w="1352"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684" w:hRule="exact"/>
        </w:trPr>
        <w:tc>
          <w:tcPr>
            <w:tcW w:w="2204"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合  计</w:t>
            </w:r>
          </w:p>
        </w:tc>
        <w:tc>
          <w:tcPr>
            <w:tcW w:w="1186"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141.29</w:t>
            </w:r>
          </w:p>
        </w:tc>
        <w:tc>
          <w:tcPr>
            <w:tcW w:w="1301"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276.7057</w:t>
            </w:r>
          </w:p>
        </w:tc>
        <w:tc>
          <w:tcPr>
            <w:tcW w:w="1300"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c>
          <w:tcPr>
            <w:tcW w:w="1179"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c>
          <w:tcPr>
            <w:tcW w:w="1352"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r>
    </w:tbl>
    <w:p>
      <w:pPr>
        <w:keepNext w:val="0"/>
        <w:keepLines w:val="0"/>
        <w:pageBreakBefore w:val="0"/>
        <w:kinsoku/>
        <w:wordWrap/>
        <w:overflowPunct/>
        <w:topLinePunct w:val="0"/>
        <w:autoSpaceDE/>
        <w:autoSpaceDN/>
        <w:bidi w:val="0"/>
        <w:adjustRightInd/>
        <w:snapToGrid/>
        <w:spacing w:beforeAutospacing="0" w:line="600" w:lineRule="exact"/>
        <w:ind w:firstLine="640" w:firstLineChars="200"/>
        <w:textAlignment w:val="auto"/>
        <w:rPr>
          <w:rFonts w:hint="eastAsia" w:asciiTheme="majorEastAsia" w:hAnsiTheme="majorEastAsia" w:eastAsiaTheme="majorEastAsia"/>
          <w:sz w:val="32"/>
          <w:szCs w:val="32"/>
        </w:rPr>
      </w:pPr>
      <w:r>
        <w:rPr>
          <w:rFonts w:hint="eastAsia" w:asciiTheme="majorEastAsia" w:hAnsiTheme="majorEastAsia" w:eastAsiaTheme="majorEastAsia"/>
          <w:sz w:val="32"/>
          <w:szCs w:val="32"/>
        </w:rPr>
        <w:t>从上表反映：</w:t>
      </w:r>
    </w:p>
    <w:p>
      <w:pPr>
        <w:keepNext w:val="0"/>
        <w:keepLines w:val="0"/>
        <w:pageBreakBefore w:val="0"/>
        <w:kinsoku/>
        <w:wordWrap/>
        <w:overflowPunct/>
        <w:topLinePunct w:val="0"/>
        <w:autoSpaceDE/>
        <w:autoSpaceDN/>
        <w:bidi w:val="0"/>
        <w:adjustRightInd/>
        <w:snapToGrid/>
        <w:spacing w:beforeAutospacing="0" w:line="600" w:lineRule="exact"/>
        <w:ind w:firstLine="640" w:firstLineChars="200"/>
        <w:textAlignment w:val="auto"/>
        <w:rPr>
          <w:rFonts w:hint="eastAsia" w:asciiTheme="majorEastAsia" w:hAnsiTheme="majorEastAsia" w:eastAsiaTheme="majorEastAsia"/>
          <w:sz w:val="32"/>
          <w:szCs w:val="32"/>
        </w:rPr>
      </w:pPr>
      <w:r>
        <w:rPr>
          <w:rFonts w:hint="eastAsia" w:asciiTheme="majorEastAsia" w:hAnsiTheme="majorEastAsia" w:eastAsiaTheme="majorEastAsia"/>
          <w:sz w:val="32"/>
          <w:szCs w:val="32"/>
        </w:rPr>
        <w:t>本年财政拨款可用指标276.7057万元，财政实际拨款276.7057万元，上年结余0万元，本年度财政资金投入率为100%。</w:t>
      </w:r>
    </w:p>
    <w:p>
      <w:pPr>
        <w:keepNext w:val="0"/>
        <w:keepLines w:val="0"/>
        <w:pageBreakBefore w:val="0"/>
        <w:kinsoku/>
        <w:wordWrap/>
        <w:overflowPunct/>
        <w:topLinePunct w:val="0"/>
        <w:autoSpaceDE/>
        <w:autoSpaceDN/>
        <w:bidi w:val="0"/>
        <w:adjustRightInd/>
        <w:snapToGrid/>
        <w:spacing w:beforeAutospacing="0" w:line="600" w:lineRule="exact"/>
        <w:ind w:firstLine="640" w:firstLineChars="200"/>
        <w:textAlignment w:val="auto"/>
        <w:rPr>
          <w:rFonts w:hint="eastAsia" w:asciiTheme="majorEastAsia" w:hAnsiTheme="majorEastAsia" w:eastAsiaTheme="majorEastAsia"/>
          <w:sz w:val="32"/>
          <w:szCs w:val="32"/>
        </w:rPr>
      </w:pPr>
      <w:r>
        <w:rPr>
          <w:rFonts w:hint="eastAsia" w:asciiTheme="majorEastAsia" w:hAnsiTheme="majorEastAsia" w:eastAsiaTheme="majorEastAsia"/>
          <w:sz w:val="32"/>
          <w:szCs w:val="32"/>
        </w:rPr>
        <w:t>2、年度预算支出决算及结余情况</w:t>
      </w:r>
    </w:p>
    <w:p>
      <w:pPr>
        <w:keepNext w:val="0"/>
        <w:keepLines w:val="0"/>
        <w:pageBreakBefore w:val="0"/>
        <w:kinsoku/>
        <w:wordWrap/>
        <w:overflowPunct/>
        <w:topLinePunct w:val="0"/>
        <w:autoSpaceDE/>
        <w:autoSpaceDN/>
        <w:bidi w:val="0"/>
        <w:adjustRightInd/>
        <w:snapToGrid/>
        <w:spacing w:beforeAutospacing="0" w:line="600" w:lineRule="exact"/>
        <w:ind w:firstLine="4800" w:firstLineChars="2000"/>
        <w:jc w:val="right"/>
        <w:textAlignment w:val="auto"/>
        <w:rPr>
          <w:rFonts w:hint="eastAsia" w:asciiTheme="majorEastAsia" w:hAnsiTheme="majorEastAsia" w:eastAsiaTheme="majorEastAsia"/>
          <w:sz w:val="32"/>
          <w:szCs w:val="32"/>
        </w:rPr>
      </w:pPr>
      <w:r>
        <w:rPr>
          <w:rFonts w:hint="eastAsia" w:asciiTheme="majorEastAsia" w:hAnsiTheme="majorEastAsia" w:eastAsiaTheme="majorEastAsia"/>
          <w:sz w:val="24"/>
          <w:szCs w:val="24"/>
        </w:rPr>
        <w:t>单位：万元</w:t>
      </w:r>
    </w:p>
    <w:tbl>
      <w:tblPr>
        <w:tblStyle w:val="9"/>
        <w:tblW w:w="0" w:type="auto"/>
        <w:jc w:val="center"/>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3082"/>
        <w:gridCol w:w="1773"/>
        <w:gridCol w:w="1761"/>
        <w:gridCol w:w="1906"/>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600" w:hRule="exact"/>
          <w:jc w:val="center"/>
        </w:trPr>
        <w:tc>
          <w:tcPr>
            <w:tcW w:w="3082" w:type="dxa"/>
            <w:noWrap w:val="0"/>
            <w:vAlign w:val="top"/>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决算项目</w:t>
            </w:r>
          </w:p>
        </w:tc>
        <w:tc>
          <w:tcPr>
            <w:tcW w:w="1773" w:type="dxa"/>
            <w:noWrap w:val="0"/>
            <w:vAlign w:val="top"/>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预算金额</w:t>
            </w:r>
          </w:p>
        </w:tc>
        <w:tc>
          <w:tcPr>
            <w:tcW w:w="1761" w:type="dxa"/>
            <w:noWrap w:val="0"/>
            <w:vAlign w:val="top"/>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决算金额</w:t>
            </w:r>
          </w:p>
        </w:tc>
        <w:tc>
          <w:tcPr>
            <w:tcW w:w="1906" w:type="dxa"/>
            <w:noWrap w:val="0"/>
            <w:vAlign w:val="top"/>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超支或结余</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99" w:hRule="exact"/>
          <w:jc w:val="center"/>
        </w:trPr>
        <w:tc>
          <w:tcPr>
            <w:tcW w:w="3082" w:type="dxa"/>
            <w:noWrap w:val="0"/>
            <w:vAlign w:val="top"/>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基本支出</w:t>
            </w:r>
          </w:p>
        </w:tc>
        <w:tc>
          <w:tcPr>
            <w:tcW w:w="1773" w:type="dxa"/>
            <w:noWrap w:val="0"/>
            <w:vAlign w:val="top"/>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81.29</w:t>
            </w:r>
          </w:p>
        </w:tc>
        <w:tc>
          <w:tcPr>
            <w:tcW w:w="1761" w:type="dxa"/>
            <w:noWrap w:val="0"/>
            <w:vAlign w:val="top"/>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98.4057</w:t>
            </w:r>
          </w:p>
        </w:tc>
        <w:tc>
          <w:tcPr>
            <w:tcW w:w="1906" w:type="dxa"/>
            <w:noWrap w:val="0"/>
            <w:vAlign w:val="top"/>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39" w:hRule="exact"/>
          <w:jc w:val="center"/>
        </w:trPr>
        <w:tc>
          <w:tcPr>
            <w:tcW w:w="3082" w:type="dxa"/>
            <w:noWrap w:val="0"/>
            <w:vAlign w:val="top"/>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项目支出</w:t>
            </w:r>
          </w:p>
        </w:tc>
        <w:tc>
          <w:tcPr>
            <w:tcW w:w="1773" w:type="dxa"/>
            <w:noWrap w:val="0"/>
            <w:vAlign w:val="top"/>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60</w:t>
            </w:r>
          </w:p>
        </w:tc>
        <w:tc>
          <w:tcPr>
            <w:tcW w:w="1761" w:type="dxa"/>
            <w:noWrap w:val="0"/>
            <w:vAlign w:val="top"/>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178.3</w:t>
            </w:r>
          </w:p>
        </w:tc>
        <w:tc>
          <w:tcPr>
            <w:tcW w:w="1906" w:type="dxa"/>
            <w:noWrap w:val="0"/>
            <w:vAlign w:val="top"/>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609" w:hRule="exact"/>
          <w:jc w:val="center"/>
        </w:trPr>
        <w:tc>
          <w:tcPr>
            <w:tcW w:w="3082" w:type="dxa"/>
            <w:noWrap w:val="0"/>
            <w:vAlign w:val="top"/>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合计</w:t>
            </w:r>
          </w:p>
        </w:tc>
        <w:tc>
          <w:tcPr>
            <w:tcW w:w="1773" w:type="dxa"/>
            <w:noWrap w:val="0"/>
            <w:vAlign w:val="top"/>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141.29</w:t>
            </w:r>
          </w:p>
        </w:tc>
        <w:tc>
          <w:tcPr>
            <w:tcW w:w="1761" w:type="dxa"/>
            <w:noWrap w:val="0"/>
            <w:vAlign w:val="top"/>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276.7057</w:t>
            </w:r>
          </w:p>
        </w:tc>
        <w:tc>
          <w:tcPr>
            <w:tcW w:w="1906" w:type="dxa"/>
            <w:noWrap w:val="0"/>
            <w:vAlign w:val="top"/>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r>
    </w:tbl>
    <w:p>
      <w:pPr>
        <w:keepNext w:val="0"/>
        <w:keepLines w:val="0"/>
        <w:pageBreakBefore w:val="0"/>
        <w:kinsoku/>
        <w:wordWrap/>
        <w:overflowPunct/>
        <w:topLinePunct w:val="0"/>
        <w:autoSpaceDE/>
        <w:autoSpaceDN/>
        <w:bidi w:val="0"/>
        <w:adjustRightInd/>
        <w:snapToGrid/>
        <w:spacing w:beforeAutospacing="0" w:line="600" w:lineRule="exact"/>
        <w:ind w:firstLine="640" w:firstLineChars="200"/>
        <w:textAlignment w:val="auto"/>
        <w:rPr>
          <w:rFonts w:hint="eastAsia" w:asciiTheme="majorEastAsia" w:hAnsiTheme="majorEastAsia" w:eastAsiaTheme="majorEastAsia"/>
          <w:sz w:val="32"/>
          <w:szCs w:val="32"/>
        </w:rPr>
      </w:pPr>
      <w:r>
        <w:rPr>
          <w:rFonts w:hint="eastAsia" w:asciiTheme="majorEastAsia" w:hAnsiTheme="majorEastAsia" w:eastAsiaTheme="majorEastAsia"/>
          <w:sz w:val="32"/>
          <w:szCs w:val="32"/>
        </w:rPr>
        <w:t>从上表来看：</w:t>
      </w:r>
    </w:p>
    <w:p>
      <w:pPr>
        <w:keepNext w:val="0"/>
        <w:keepLines w:val="0"/>
        <w:pageBreakBefore w:val="0"/>
        <w:kinsoku/>
        <w:wordWrap/>
        <w:overflowPunct/>
        <w:topLinePunct w:val="0"/>
        <w:autoSpaceDE/>
        <w:autoSpaceDN/>
        <w:bidi w:val="0"/>
        <w:adjustRightInd/>
        <w:snapToGrid/>
        <w:spacing w:beforeAutospacing="0" w:line="600" w:lineRule="exact"/>
        <w:ind w:firstLine="640" w:firstLineChars="200"/>
        <w:textAlignment w:val="auto"/>
        <w:rPr>
          <w:rFonts w:hint="eastAsia" w:asciiTheme="majorEastAsia" w:hAnsiTheme="majorEastAsia" w:eastAsiaTheme="majorEastAsia"/>
          <w:sz w:val="32"/>
          <w:szCs w:val="32"/>
        </w:rPr>
      </w:pPr>
      <w:r>
        <w:rPr>
          <w:rFonts w:hint="eastAsia" w:asciiTheme="majorEastAsia" w:hAnsiTheme="majorEastAsia" w:eastAsiaTheme="majorEastAsia"/>
          <w:sz w:val="32"/>
          <w:szCs w:val="32"/>
        </w:rPr>
        <w:t>本年支出预算141.29万元，决算276.7057万元，专项资金、基本服务支出有调整追加，部分追加资金列入弥补专项支出的不足，结余0万元。</w:t>
      </w:r>
    </w:p>
    <w:p>
      <w:pPr>
        <w:keepNext w:val="0"/>
        <w:keepLines w:val="0"/>
        <w:pageBreakBefore w:val="0"/>
        <w:kinsoku/>
        <w:wordWrap/>
        <w:overflowPunct/>
        <w:topLinePunct w:val="0"/>
        <w:autoSpaceDE/>
        <w:autoSpaceDN/>
        <w:bidi w:val="0"/>
        <w:adjustRightInd/>
        <w:snapToGrid/>
        <w:spacing w:beforeAutospacing="0" w:line="600" w:lineRule="exact"/>
        <w:ind w:firstLine="640" w:firstLineChars="200"/>
        <w:textAlignment w:val="auto"/>
        <w:rPr>
          <w:rFonts w:hint="eastAsia" w:ascii="黑体" w:hAnsi="黑体" w:eastAsia="黑体" w:cs="黑体"/>
          <w:sz w:val="32"/>
          <w:szCs w:val="32"/>
        </w:rPr>
      </w:pPr>
      <w:bookmarkStart w:id="9" w:name="_Toc413785905"/>
      <w:r>
        <w:rPr>
          <w:rFonts w:hint="eastAsia" w:ascii="黑体" w:hAnsi="黑体" w:eastAsia="黑体" w:cs="黑体"/>
          <w:sz w:val="32"/>
          <w:szCs w:val="32"/>
        </w:rPr>
        <w:t>三、部门整体支出管理及使用情况</w:t>
      </w:r>
      <w:bookmarkEnd w:id="9"/>
    </w:p>
    <w:p>
      <w:pPr>
        <w:keepNext w:val="0"/>
        <w:keepLines w:val="0"/>
        <w:pageBreakBefore w:val="0"/>
        <w:widowControl w:val="0"/>
        <w:kinsoku/>
        <w:wordWrap/>
        <w:overflowPunct/>
        <w:topLinePunct w:val="0"/>
        <w:autoSpaceDE/>
        <w:autoSpaceDN/>
        <w:bidi w:val="0"/>
        <w:adjustRightInd/>
        <w:snapToGrid/>
        <w:spacing w:beforeAutospacing="0" w:line="600" w:lineRule="exact"/>
        <w:ind w:firstLine="643" w:firstLineChars="200"/>
        <w:textAlignment w:val="auto"/>
        <w:rPr>
          <w:rFonts w:hint="eastAsia" w:ascii="宋体" w:hAnsi="宋体" w:eastAsia="宋体" w:cs="宋体"/>
          <w:b/>
          <w:bCs/>
          <w:sz w:val="32"/>
          <w:szCs w:val="32"/>
        </w:rPr>
      </w:pPr>
      <w:bookmarkStart w:id="10" w:name="_Toc413785906"/>
      <w:r>
        <w:rPr>
          <w:rFonts w:hint="eastAsia" w:ascii="宋体" w:hAnsi="宋体" w:eastAsia="宋体" w:cs="宋体"/>
          <w:b/>
          <w:bCs/>
          <w:sz w:val="32"/>
          <w:szCs w:val="32"/>
        </w:rPr>
        <w:t>（一）基本支出管理情况</w:t>
      </w:r>
      <w:bookmarkEnd w:id="10"/>
    </w:p>
    <w:p>
      <w:pPr>
        <w:keepNext w:val="0"/>
        <w:keepLines w:val="0"/>
        <w:pageBreakBefore w:val="0"/>
        <w:kinsoku/>
        <w:wordWrap/>
        <w:overflowPunct/>
        <w:topLinePunct w:val="0"/>
        <w:autoSpaceDE/>
        <w:autoSpaceDN/>
        <w:bidi w:val="0"/>
        <w:adjustRightInd/>
        <w:snapToGrid/>
        <w:spacing w:beforeAutospacing="0" w:line="600" w:lineRule="exact"/>
        <w:ind w:firstLine="640" w:firstLineChars="200"/>
        <w:textAlignment w:val="auto"/>
        <w:rPr>
          <w:rFonts w:hint="eastAsia" w:asciiTheme="majorEastAsia" w:hAnsiTheme="majorEastAsia" w:eastAsiaTheme="majorEastAsia"/>
          <w:sz w:val="32"/>
          <w:szCs w:val="32"/>
        </w:rPr>
      </w:pPr>
      <w:r>
        <w:rPr>
          <w:rFonts w:hint="eastAsia" w:asciiTheme="majorEastAsia" w:hAnsiTheme="majorEastAsia" w:eastAsiaTheme="majorEastAsia"/>
          <w:sz w:val="32"/>
          <w:szCs w:val="32"/>
        </w:rPr>
        <w:t>市文联基本支出的范围和主要用途包括为维持部门日常运转的人员经费和日常公用经费。具体管理和使用情况如下：</w:t>
      </w:r>
    </w:p>
    <w:p>
      <w:pPr>
        <w:keepNext w:val="0"/>
        <w:keepLines w:val="0"/>
        <w:pageBreakBefore w:val="0"/>
        <w:kinsoku/>
        <w:wordWrap/>
        <w:overflowPunct/>
        <w:topLinePunct w:val="0"/>
        <w:autoSpaceDE/>
        <w:autoSpaceDN/>
        <w:bidi w:val="0"/>
        <w:adjustRightInd/>
        <w:snapToGrid/>
        <w:spacing w:beforeAutospacing="0" w:line="600" w:lineRule="exact"/>
        <w:ind w:firstLine="640" w:firstLineChars="200"/>
        <w:textAlignment w:val="auto"/>
        <w:rPr>
          <w:rFonts w:hint="eastAsia" w:asciiTheme="majorEastAsia" w:hAnsiTheme="majorEastAsia" w:eastAsiaTheme="majorEastAsia"/>
          <w:sz w:val="32"/>
          <w:szCs w:val="32"/>
        </w:rPr>
      </w:pPr>
      <w:r>
        <w:rPr>
          <w:rFonts w:hint="eastAsia" w:asciiTheme="majorEastAsia" w:hAnsiTheme="majorEastAsia" w:eastAsiaTheme="majorEastAsia"/>
          <w:sz w:val="32"/>
          <w:szCs w:val="32"/>
        </w:rPr>
        <w:t xml:space="preserve">本年基本支出预算执行情况 </w:t>
      </w:r>
    </w:p>
    <w:p>
      <w:pPr>
        <w:adjustRightInd w:val="0"/>
        <w:snapToGrid w:val="0"/>
        <w:spacing w:line="440" w:lineRule="exact"/>
        <w:ind w:firstLine="6960" w:firstLineChars="2900"/>
        <w:jc w:val="right"/>
        <w:rPr>
          <w:rFonts w:hint="eastAsia" w:ascii="宋体" w:hAnsi="宋体" w:cs="宋体"/>
          <w:sz w:val="32"/>
          <w:szCs w:val="32"/>
        </w:rPr>
      </w:pPr>
      <w:r>
        <w:rPr>
          <w:rFonts w:hint="eastAsia" w:ascii="宋体" w:hAnsi="宋体" w:cs="宋体"/>
          <w:sz w:val="24"/>
          <w:szCs w:val="24"/>
        </w:rPr>
        <w:t>单位：万元</w:t>
      </w:r>
    </w:p>
    <w:tbl>
      <w:tblPr>
        <w:tblStyle w:val="9"/>
        <w:tblW w:w="8841" w:type="dxa"/>
        <w:tblInd w:w="0" w:type="dxa"/>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2459"/>
        <w:gridCol w:w="945"/>
        <w:gridCol w:w="1076"/>
        <w:gridCol w:w="1192"/>
        <w:gridCol w:w="917"/>
        <w:gridCol w:w="1221"/>
        <w:gridCol w:w="1031"/>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0" w:hRule="atLeast"/>
          <w:tblHeader/>
        </w:trPr>
        <w:tc>
          <w:tcPr>
            <w:tcW w:w="2459"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line="4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项目</w:t>
            </w:r>
          </w:p>
        </w:tc>
        <w:tc>
          <w:tcPr>
            <w:tcW w:w="94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line="4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上年结余</w:t>
            </w:r>
          </w:p>
        </w:tc>
        <w:tc>
          <w:tcPr>
            <w:tcW w:w="1076"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line="4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本年</w:t>
            </w:r>
          </w:p>
          <w:p>
            <w:pPr>
              <w:keepNext w:val="0"/>
              <w:keepLines w:val="0"/>
              <w:pageBreakBefore w:val="0"/>
              <w:widowControl w:val="0"/>
              <w:kinsoku/>
              <w:wordWrap/>
              <w:overflowPunct/>
              <w:topLinePunct w:val="0"/>
              <w:autoSpaceDE/>
              <w:autoSpaceDN/>
              <w:bidi w:val="0"/>
              <w:adjustRightInd/>
              <w:snapToGrid/>
              <w:spacing w:beforeAutospacing="0" w:line="4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预算</w:t>
            </w:r>
          </w:p>
        </w:tc>
        <w:tc>
          <w:tcPr>
            <w:tcW w:w="1192"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line="4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财政</w:t>
            </w:r>
          </w:p>
          <w:p>
            <w:pPr>
              <w:keepNext w:val="0"/>
              <w:keepLines w:val="0"/>
              <w:pageBreakBefore w:val="0"/>
              <w:widowControl w:val="0"/>
              <w:kinsoku/>
              <w:wordWrap/>
              <w:overflowPunct/>
              <w:topLinePunct w:val="0"/>
              <w:autoSpaceDE/>
              <w:autoSpaceDN/>
              <w:bidi w:val="0"/>
              <w:adjustRightInd/>
              <w:snapToGrid/>
              <w:spacing w:beforeAutospacing="0" w:line="4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追加</w:t>
            </w:r>
          </w:p>
        </w:tc>
        <w:tc>
          <w:tcPr>
            <w:tcW w:w="917"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line="4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预算</w:t>
            </w:r>
          </w:p>
          <w:p>
            <w:pPr>
              <w:keepNext w:val="0"/>
              <w:keepLines w:val="0"/>
              <w:pageBreakBefore w:val="0"/>
              <w:widowControl w:val="0"/>
              <w:kinsoku/>
              <w:wordWrap/>
              <w:overflowPunct/>
              <w:topLinePunct w:val="0"/>
              <w:autoSpaceDE/>
              <w:autoSpaceDN/>
              <w:bidi w:val="0"/>
              <w:adjustRightInd/>
              <w:snapToGrid/>
              <w:spacing w:beforeAutospacing="0" w:line="4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合计</w:t>
            </w:r>
          </w:p>
        </w:tc>
        <w:tc>
          <w:tcPr>
            <w:tcW w:w="1221"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line="4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决算</w:t>
            </w:r>
          </w:p>
          <w:p>
            <w:pPr>
              <w:keepNext w:val="0"/>
              <w:keepLines w:val="0"/>
              <w:pageBreakBefore w:val="0"/>
              <w:widowControl w:val="0"/>
              <w:kinsoku/>
              <w:wordWrap/>
              <w:overflowPunct/>
              <w:topLinePunct w:val="0"/>
              <w:autoSpaceDE/>
              <w:autoSpaceDN/>
              <w:bidi w:val="0"/>
              <w:adjustRightInd/>
              <w:snapToGrid/>
              <w:spacing w:beforeAutospacing="0" w:line="4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金额</w:t>
            </w:r>
          </w:p>
        </w:tc>
        <w:tc>
          <w:tcPr>
            <w:tcW w:w="1031"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line="4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节约/</w:t>
            </w:r>
          </w:p>
          <w:p>
            <w:pPr>
              <w:keepNext w:val="0"/>
              <w:keepLines w:val="0"/>
              <w:pageBreakBefore w:val="0"/>
              <w:widowControl w:val="0"/>
              <w:kinsoku/>
              <w:wordWrap/>
              <w:overflowPunct/>
              <w:topLinePunct w:val="0"/>
              <w:autoSpaceDE/>
              <w:autoSpaceDN/>
              <w:bidi w:val="0"/>
              <w:adjustRightInd/>
              <w:snapToGrid/>
              <w:spacing w:beforeAutospacing="0" w:line="4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超支</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658" w:hRule="atLeast"/>
        </w:trPr>
        <w:tc>
          <w:tcPr>
            <w:tcW w:w="2459"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工资福利支出</w:t>
            </w:r>
          </w:p>
        </w:tc>
        <w:tc>
          <w:tcPr>
            <w:tcW w:w="945"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c>
          <w:tcPr>
            <w:tcW w:w="1076"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61.65</w:t>
            </w:r>
          </w:p>
        </w:tc>
        <w:tc>
          <w:tcPr>
            <w:tcW w:w="1192"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13.6457</w:t>
            </w:r>
          </w:p>
        </w:tc>
        <w:tc>
          <w:tcPr>
            <w:tcW w:w="917"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61.65</w:t>
            </w:r>
          </w:p>
        </w:tc>
        <w:tc>
          <w:tcPr>
            <w:tcW w:w="1221"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75.2957</w:t>
            </w:r>
          </w:p>
        </w:tc>
        <w:tc>
          <w:tcPr>
            <w:tcW w:w="1031"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5" w:hRule="atLeast"/>
        </w:trPr>
        <w:tc>
          <w:tcPr>
            <w:tcW w:w="2459"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商品和服务支出</w:t>
            </w:r>
          </w:p>
        </w:tc>
        <w:tc>
          <w:tcPr>
            <w:tcW w:w="945"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c>
          <w:tcPr>
            <w:tcW w:w="1076"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19.64</w:t>
            </w:r>
          </w:p>
        </w:tc>
        <w:tc>
          <w:tcPr>
            <w:tcW w:w="1192"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1.36</w:t>
            </w:r>
          </w:p>
        </w:tc>
        <w:tc>
          <w:tcPr>
            <w:tcW w:w="917"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19.64</w:t>
            </w:r>
          </w:p>
        </w:tc>
        <w:tc>
          <w:tcPr>
            <w:tcW w:w="1221"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21</w:t>
            </w:r>
          </w:p>
        </w:tc>
        <w:tc>
          <w:tcPr>
            <w:tcW w:w="1031"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5" w:hRule="atLeast"/>
        </w:trPr>
        <w:tc>
          <w:tcPr>
            <w:tcW w:w="2459"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line="4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对个人和家庭的补助</w:t>
            </w:r>
          </w:p>
        </w:tc>
        <w:tc>
          <w:tcPr>
            <w:tcW w:w="945"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c>
          <w:tcPr>
            <w:tcW w:w="1076"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c>
          <w:tcPr>
            <w:tcW w:w="1192"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2.11</w:t>
            </w:r>
          </w:p>
        </w:tc>
        <w:tc>
          <w:tcPr>
            <w:tcW w:w="917"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c>
          <w:tcPr>
            <w:tcW w:w="1221"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2.11</w:t>
            </w:r>
          </w:p>
        </w:tc>
        <w:tc>
          <w:tcPr>
            <w:tcW w:w="1031"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635" w:hRule="exact"/>
        </w:trPr>
        <w:tc>
          <w:tcPr>
            <w:tcW w:w="2459"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其它支出性支出</w:t>
            </w:r>
          </w:p>
        </w:tc>
        <w:tc>
          <w:tcPr>
            <w:tcW w:w="945"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c>
          <w:tcPr>
            <w:tcW w:w="1076"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c>
          <w:tcPr>
            <w:tcW w:w="1192"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c>
          <w:tcPr>
            <w:tcW w:w="917"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c>
          <w:tcPr>
            <w:tcW w:w="1221"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c>
          <w:tcPr>
            <w:tcW w:w="1031"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704" w:hRule="exact"/>
        </w:trPr>
        <w:tc>
          <w:tcPr>
            <w:tcW w:w="2459"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专项支出</w:t>
            </w:r>
          </w:p>
        </w:tc>
        <w:tc>
          <w:tcPr>
            <w:tcW w:w="945"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c>
          <w:tcPr>
            <w:tcW w:w="1076"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60</w:t>
            </w:r>
          </w:p>
        </w:tc>
        <w:tc>
          <w:tcPr>
            <w:tcW w:w="1192"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118.3</w:t>
            </w:r>
          </w:p>
        </w:tc>
        <w:tc>
          <w:tcPr>
            <w:tcW w:w="917"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60</w:t>
            </w:r>
          </w:p>
        </w:tc>
        <w:tc>
          <w:tcPr>
            <w:tcW w:w="1221"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178.3</w:t>
            </w:r>
          </w:p>
        </w:tc>
        <w:tc>
          <w:tcPr>
            <w:tcW w:w="1031"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609" w:hRule="exact"/>
        </w:trPr>
        <w:tc>
          <w:tcPr>
            <w:tcW w:w="2459"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合计</w:t>
            </w:r>
          </w:p>
        </w:tc>
        <w:tc>
          <w:tcPr>
            <w:tcW w:w="945"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c>
          <w:tcPr>
            <w:tcW w:w="1076"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141.29</w:t>
            </w:r>
          </w:p>
        </w:tc>
        <w:tc>
          <w:tcPr>
            <w:tcW w:w="1192"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135.4157</w:t>
            </w:r>
          </w:p>
        </w:tc>
        <w:tc>
          <w:tcPr>
            <w:tcW w:w="917"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141.29</w:t>
            </w:r>
          </w:p>
        </w:tc>
        <w:tc>
          <w:tcPr>
            <w:tcW w:w="1221"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276.7057</w:t>
            </w:r>
          </w:p>
        </w:tc>
        <w:tc>
          <w:tcPr>
            <w:tcW w:w="1031"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r>
    </w:tbl>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宋体" w:hAnsi="宋体" w:cs="宋体"/>
          <w:sz w:val="32"/>
          <w:szCs w:val="32"/>
        </w:rPr>
      </w:pPr>
      <w:r>
        <w:rPr>
          <w:rFonts w:hint="eastAsia" w:ascii="宋体" w:hAnsi="宋体" w:cs="宋体"/>
          <w:sz w:val="32"/>
          <w:szCs w:val="32"/>
        </w:rPr>
        <w:t>1、基本支出总额的使用和管理情况</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宋体" w:hAnsi="宋体" w:cs="宋体"/>
          <w:sz w:val="32"/>
          <w:szCs w:val="32"/>
        </w:rPr>
      </w:pPr>
      <w:r>
        <w:rPr>
          <w:rFonts w:hint="eastAsia" w:ascii="宋体" w:hAnsi="宋体" w:cs="宋体"/>
          <w:sz w:val="32"/>
          <w:szCs w:val="32"/>
        </w:rPr>
        <w:t>（1）本年基本支出总额98.4057万元，比预算超支17.1157万元。其中：工资福利支出75.2957万元，商品和服务支出21万元，超支1.36万元。</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宋体" w:hAnsi="宋体" w:cs="宋体"/>
          <w:sz w:val="32"/>
          <w:szCs w:val="32"/>
        </w:rPr>
      </w:pPr>
      <w:r>
        <w:rPr>
          <w:rFonts w:hint="eastAsia" w:ascii="宋体" w:hAnsi="宋体" w:cs="宋体"/>
          <w:sz w:val="32"/>
          <w:szCs w:val="32"/>
        </w:rPr>
        <w:t xml:space="preserve">（2）基本支出中：工资福利支出占总支出的比例27.2%，总基本支出比例76.5%，专项支出占总支出的比例64.4 %。 </w:t>
      </w:r>
    </w:p>
    <w:p>
      <w:pPr>
        <w:keepNext w:val="0"/>
        <w:keepLines w:val="0"/>
        <w:pageBreakBefore w:val="0"/>
        <w:widowControl w:val="0"/>
        <w:kinsoku/>
        <w:wordWrap/>
        <w:overflowPunct/>
        <w:topLinePunct w:val="0"/>
        <w:autoSpaceDE/>
        <w:autoSpaceDN/>
        <w:bidi w:val="0"/>
        <w:adjustRightInd/>
        <w:snapToGrid/>
        <w:spacing w:beforeAutospacing="0" w:line="600" w:lineRule="exact"/>
        <w:ind w:firstLine="643" w:firstLineChars="200"/>
        <w:textAlignment w:val="auto"/>
        <w:rPr>
          <w:rFonts w:hint="eastAsia" w:ascii="宋体" w:hAnsi="宋体" w:eastAsia="宋体" w:cs="宋体"/>
          <w:b/>
          <w:bCs/>
          <w:sz w:val="32"/>
          <w:szCs w:val="32"/>
        </w:rPr>
      </w:pPr>
      <w:bookmarkStart w:id="11" w:name="_Toc413785907"/>
      <w:r>
        <w:rPr>
          <w:rFonts w:hint="eastAsia" w:ascii="宋体" w:hAnsi="宋体" w:eastAsia="宋体" w:cs="宋体"/>
          <w:b/>
          <w:bCs/>
          <w:sz w:val="32"/>
          <w:szCs w:val="32"/>
        </w:rPr>
        <w:t>（二）“三公经费”支出使用和管理情况</w:t>
      </w:r>
      <w:bookmarkEnd w:id="11"/>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宋体" w:hAnsi="宋体" w:cs="宋体"/>
          <w:sz w:val="32"/>
          <w:szCs w:val="32"/>
        </w:rPr>
      </w:pPr>
      <w:r>
        <w:rPr>
          <w:rFonts w:hint="eastAsia" w:ascii="宋体" w:hAnsi="宋体" w:cs="宋体"/>
          <w:sz w:val="32"/>
          <w:szCs w:val="32"/>
        </w:rPr>
        <w:t>1、2018年“三公经费”支出总额情况</w:t>
      </w:r>
    </w:p>
    <w:p>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eastAsia" w:ascii="宋体" w:hAnsi="宋体" w:cs="宋体"/>
          <w:b/>
          <w:bCs/>
          <w:sz w:val="32"/>
          <w:szCs w:val="32"/>
        </w:rPr>
      </w:pPr>
      <w:r>
        <w:rPr>
          <w:rFonts w:hint="eastAsia" w:ascii="宋体" w:hAnsi="宋体" w:cs="宋体"/>
          <w:b/>
          <w:bCs/>
          <w:sz w:val="32"/>
          <w:szCs w:val="32"/>
        </w:rPr>
        <w:t>“三公经费”总额2018年预算情况</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right"/>
        <w:textAlignment w:val="auto"/>
        <w:rPr>
          <w:rFonts w:hint="eastAsia" w:ascii="宋体" w:hAnsi="宋体" w:cs="宋体"/>
          <w:sz w:val="24"/>
          <w:szCs w:val="24"/>
        </w:rPr>
      </w:pPr>
      <w:r>
        <w:rPr>
          <w:rFonts w:hint="eastAsia" w:ascii="宋体" w:hAnsi="宋体" w:cs="宋体"/>
          <w:sz w:val="32"/>
          <w:szCs w:val="32"/>
        </w:rPr>
        <w:t xml:space="preserve">                                      </w:t>
      </w:r>
      <w:r>
        <w:rPr>
          <w:rFonts w:hint="eastAsia" w:ascii="宋体" w:hAnsi="宋体" w:cs="宋体"/>
          <w:sz w:val="24"/>
          <w:szCs w:val="24"/>
        </w:rPr>
        <w:t>单位：万元</w:t>
      </w:r>
    </w:p>
    <w:tbl>
      <w:tblPr>
        <w:tblStyle w:val="9"/>
        <w:tblW w:w="8744" w:type="dxa"/>
        <w:tblInd w:w="0" w:type="dxa"/>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2840"/>
        <w:gridCol w:w="1989"/>
        <w:gridCol w:w="1880"/>
        <w:gridCol w:w="2035"/>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94" w:hRule="exact"/>
        </w:trPr>
        <w:tc>
          <w:tcPr>
            <w:tcW w:w="284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费用项目</w:t>
            </w:r>
          </w:p>
        </w:tc>
        <w:tc>
          <w:tcPr>
            <w:tcW w:w="1989"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本年预算</w:t>
            </w:r>
          </w:p>
        </w:tc>
        <w:tc>
          <w:tcPr>
            <w:tcW w:w="1880"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本年决算</w:t>
            </w:r>
          </w:p>
        </w:tc>
        <w:tc>
          <w:tcPr>
            <w:tcW w:w="203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结余/超支</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609" w:hRule="exact"/>
        </w:trPr>
        <w:tc>
          <w:tcPr>
            <w:tcW w:w="28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p>
        </w:tc>
        <w:tc>
          <w:tcPr>
            <w:tcW w:w="1989"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基本支出</w:t>
            </w:r>
          </w:p>
        </w:tc>
        <w:tc>
          <w:tcPr>
            <w:tcW w:w="1880"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基本支出</w:t>
            </w:r>
          </w:p>
        </w:tc>
        <w:tc>
          <w:tcPr>
            <w:tcW w:w="203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基本支出</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614" w:hRule="exact"/>
        </w:trPr>
        <w:tc>
          <w:tcPr>
            <w:tcW w:w="2840"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公务接待费</w:t>
            </w:r>
          </w:p>
        </w:tc>
        <w:tc>
          <w:tcPr>
            <w:tcW w:w="1989"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2.5</w:t>
            </w:r>
          </w:p>
        </w:tc>
        <w:tc>
          <w:tcPr>
            <w:tcW w:w="1880"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2.4</w:t>
            </w:r>
          </w:p>
        </w:tc>
        <w:tc>
          <w:tcPr>
            <w:tcW w:w="203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54" w:hRule="exact"/>
        </w:trPr>
        <w:tc>
          <w:tcPr>
            <w:tcW w:w="2840"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公车运行维护费</w:t>
            </w:r>
          </w:p>
        </w:tc>
        <w:tc>
          <w:tcPr>
            <w:tcW w:w="1989"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3</w:t>
            </w:r>
          </w:p>
        </w:tc>
        <w:tc>
          <w:tcPr>
            <w:tcW w:w="1880"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2.98</w:t>
            </w:r>
          </w:p>
        </w:tc>
        <w:tc>
          <w:tcPr>
            <w:tcW w:w="203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54" w:hRule="exact"/>
        </w:trPr>
        <w:tc>
          <w:tcPr>
            <w:tcW w:w="2840"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因公出国费用</w:t>
            </w:r>
          </w:p>
        </w:tc>
        <w:tc>
          <w:tcPr>
            <w:tcW w:w="1989"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c>
          <w:tcPr>
            <w:tcW w:w="1880"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c>
          <w:tcPr>
            <w:tcW w:w="203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94" w:hRule="exact"/>
        </w:trPr>
        <w:tc>
          <w:tcPr>
            <w:tcW w:w="2840"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合计</w:t>
            </w:r>
          </w:p>
        </w:tc>
        <w:tc>
          <w:tcPr>
            <w:tcW w:w="1989"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5.5</w:t>
            </w:r>
          </w:p>
        </w:tc>
        <w:tc>
          <w:tcPr>
            <w:tcW w:w="1880"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5.38</w:t>
            </w:r>
          </w:p>
        </w:tc>
        <w:tc>
          <w:tcPr>
            <w:tcW w:w="203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r>
    </w:tbl>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宋体" w:hAnsi="宋体" w:cs="宋体"/>
          <w:sz w:val="32"/>
          <w:szCs w:val="32"/>
        </w:rPr>
      </w:pPr>
      <w:r>
        <w:rPr>
          <w:rFonts w:hint="eastAsia" w:ascii="宋体" w:hAnsi="宋体" w:cs="宋体"/>
          <w:sz w:val="32"/>
          <w:szCs w:val="32"/>
        </w:rPr>
        <w:t>从上表来看，2018年三公决算支出5.38万元，结余0.12万元，三公经费总额基本上按预算执行，控制在预算范围内。</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宋体" w:hAnsi="宋体" w:cs="宋体"/>
          <w:sz w:val="32"/>
          <w:szCs w:val="32"/>
        </w:rPr>
      </w:pPr>
      <w:r>
        <w:rPr>
          <w:rFonts w:hint="eastAsia" w:ascii="宋体" w:hAnsi="宋体" w:cs="宋体"/>
          <w:sz w:val="32"/>
          <w:szCs w:val="32"/>
        </w:rPr>
        <w:t>从三公经费的支出明细项目看，公务接待费支出2.4万元，结余0.1万元，控制较好；公车改革支出2.98万元，结余0.02万元。</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宋体" w:hAnsi="宋体" w:cs="宋体"/>
          <w:sz w:val="32"/>
          <w:szCs w:val="32"/>
        </w:rPr>
      </w:pPr>
      <w:r>
        <w:rPr>
          <w:rFonts w:hint="eastAsia" w:ascii="宋体" w:hAnsi="宋体" w:cs="宋体"/>
          <w:sz w:val="32"/>
          <w:szCs w:val="32"/>
        </w:rPr>
        <w:t>2、与上年度比较“三公经费”总额控制情况</w:t>
      </w:r>
    </w:p>
    <w:tbl>
      <w:tblPr>
        <w:tblStyle w:val="9"/>
        <w:tblW w:w="0" w:type="auto"/>
        <w:tblInd w:w="0" w:type="dxa"/>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2226"/>
        <w:gridCol w:w="1667"/>
        <w:gridCol w:w="1667"/>
        <w:gridCol w:w="1481"/>
        <w:gridCol w:w="1481"/>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84" w:hRule="exact"/>
        </w:trPr>
        <w:tc>
          <w:tcPr>
            <w:tcW w:w="2226" w:type="dxa"/>
            <w:noWrap w:val="0"/>
            <w:vAlign w:val="top"/>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费用项目</w:t>
            </w:r>
          </w:p>
        </w:tc>
        <w:tc>
          <w:tcPr>
            <w:tcW w:w="1667" w:type="dxa"/>
            <w:noWrap w:val="0"/>
            <w:vAlign w:val="top"/>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本年决算金额</w:t>
            </w:r>
          </w:p>
        </w:tc>
        <w:tc>
          <w:tcPr>
            <w:tcW w:w="1667" w:type="dxa"/>
            <w:noWrap w:val="0"/>
            <w:vAlign w:val="top"/>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上年决算金额</w:t>
            </w:r>
          </w:p>
        </w:tc>
        <w:tc>
          <w:tcPr>
            <w:tcW w:w="1481" w:type="dxa"/>
            <w:noWrap w:val="0"/>
            <w:vAlign w:val="top"/>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增减额</w:t>
            </w:r>
          </w:p>
        </w:tc>
        <w:tc>
          <w:tcPr>
            <w:tcW w:w="1481" w:type="dxa"/>
            <w:noWrap w:val="0"/>
            <w:vAlign w:val="top"/>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增减率(%)</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69" w:hRule="exact"/>
        </w:trPr>
        <w:tc>
          <w:tcPr>
            <w:tcW w:w="2226" w:type="dxa"/>
            <w:noWrap w:val="0"/>
            <w:vAlign w:val="top"/>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公务接待费</w:t>
            </w:r>
          </w:p>
        </w:tc>
        <w:tc>
          <w:tcPr>
            <w:tcW w:w="1667" w:type="dxa"/>
            <w:noWrap w:val="0"/>
            <w:vAlign w:val="top"/>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2.4</w:t>
            </w:r>
          </w:p>
        </w:tc>
        <w:tc>
          <w:tcPr>
            <w:tcW w:w="1667" w:type="dxa"/>
            <w:noWrap w:val="0"/>
            <w:vAlign w:val="top"/>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2.19</w:t>
            </w:r>
          </w:p>
        </w:tc>
        <w:tc>
          <w:tcPr>
            <w:tcW w:w="1481" w:type="dxa"/>
            <w:noWrap w:val="0"/>
            <w:vAlign w:val="top"/>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c>
          <w:tcPr>
            <w:tcW w:w="1481" w:type="dxa"/>
            <w:noWrap w:val="0"/>
            <w:vAlign w:val="top"/>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99" w:hRule="exact"/>
        </w:trPr>
        <w:tc>
          <w:tcPr>
            <w:tcW w:w="2226" w:type="dxa"/>
            <w:noWrap w:val="0"/>
            <w:vAlign w:val="top"/>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公车运行维护费</w:t>
            </w:r>
          </w:p>
        </w:tc>
        <w:tc>
          <w:tcPr>
            <w:tcW w:w="1667" w:type="dxa"/>
            <w:noWrap w:val="0"/>
            <w:vAlign w:val="top"/>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2.98</w:t>
            </w:r>
          </w:p>
        </w:tc>
        <w:tc>
          <w:tcPr>
            <w:tcW w:w="1667" w:type="dxa"/>
            <w:noWrap w:val="0"/>
            <w:vAlign w:val="top"/>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3</w:t>
            </w:r>
          </w:p>
        </w:tc>
        <w:tc>
          <w:tcPr>
            <w:tcW w:w="1481" w:type="dxa"/>
            <w:noWrap w:val="0"/>
            <w:vAlign w:val="top"/>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c>
          <w:tcPr>
            <w:tcW w:w="1481" w:type="dxa"/>
            <w:noWrap w:val="0"/>
            <w:vAlign w:val="top"/>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24" w:hRule="exact"/>
        </w:trPr>
        <w:tc>
          <w:tcPr>
            <w:tcW w:w="2226" w:type="dxa"/>
            <w:noWrap w:val="0"/>
            <w:vAlign w:val="top"/>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因公出国费用</w:t>
            </w:r>
          </w:p>
        </w:tc>
        <w:tc>
          <w:tcPr>
            <w:tcW w:w="1667" w:type="dxa"/>
            <w:noWrap w:val="0"/>
            <w:vAlign w:val="top"/>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c>
          <w:tcPr>
            <w:tcW w:w="1667" w:type="dxa"/>
            <w:noWrap w:val="0"/>
            <w:vAlign w:val="top"/>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c>
          <w:tcPr>
            <w:tcW w:w="1481" w:type="dxa"/>
            <w:noWrap w:val="0"/>
            <w:vAlign w:val="top"/>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c>
          <w:tcPr>
            <w:tcW w:w="1481" w:type="dxa"/>
            <w:noWrap w:val="0"/>
            <w:vAlign w:val="top"/>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94" w:hRule="exact"/>
        </w:trPr>
        <w:tc>
          <w:tcPr>
            <w:tcW w:w="2226" w:type="dxa"/>
            <w:noWrap w:val="0"/>
            <w:vAlign w:val="top"/>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合  计</w:t>
            </w:r>
          </w:p>
        </w:tc>
        <w:tc>
          <w:tcPr>
            <w:tcW w:w="1667" w:type="dxa"/>
            <w:noWrap w:val="0"/>
            <w:vAlign w:val="top"/>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5.38</w:t>
            </w:r>
          </w:p>
        </w:tc>
        <w:tc>
          <w:tcPr>
            <w:tcW w:w="1667" w:type="dxa"/>
            <w:noWrap w:val="0"/>
            <w:vAlign w:val="top"/>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5.19</w:t>
            </w:r>
          </w:p>
        </w:tc>
        <w:tc>
          <w:tcPr>
            <w:tcW w:w="1481" w:type="dxa"/>
            <w:noWrap w:val="0"/>
            <w:vAlign w:val="top"/>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c>
          <w:tcPr>
            <w:tcW w:w="1481" w:type="dxa"/>
            <w:noWrap w:val="0"/>
            <w:vAlign w:val="top"/>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r>
    </w:tbl>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宋体" w:hAnsi="宋体" w:cs="宋体"/>
          <w:sz w:val="32"/>
          <w:szCs w:val="32"/>
        </w:rPr>
      </w:pPr>
      <w:r>
        <w:rPr>
          <w:rFonts w:hint="eastAsia" w:ascii="宋体" w:hAnsi="宋体" w:cs="宋体"/>
          <w:sz w:val="32"/>
          <w:szCs w:val="32"/>
        </w:rPr>
        <w:t>与上年比较，三公经费总额增加0.19 万元，增加0.04%，其中公务接待费增加0.21万元，增幅1%</w:t>
      </w:r>
      <w:bookmarkStart w:id="12" w:name="_Toc413785908"/>
      <w:r>
        <w:rPr>
          <w:rFonts w:hint="eastAsia" w:ascii="宋体" w:hAnsi="宋体" w:cs="宋体"/>
          <w:sz w:val="32"/>
          <w:szCs w:val="32"/>
        </w:rPr>
        <w:t>，公车运行维护费减少0.02万元，控制较好。</w:t>
      </w:r>
    </w:p>
    <w:p>
      <w:pPr>
        <w:keepNext w:val="0"/>
        <w:keepLines w:val="0"/>
        <w:pageBreakBefore w:val="0"/>
        <w:widowControl w:val="0"/>
        <w:kinsoku/>
        <w:wordWrap/>
        <w:overflowPunct/>
        <w:topLinePunct w:val="0"/>
        <w:autoSpaceDE/>
        <w:autoSpaceDN/>
        <w:bidi w:val="0"/>
        <w:adjustRightInd/>
        <w:snapToGrid/>
        <w:spacing w:beforeAutospacing="0" w:line="600" w:lineRule="exact"/>
        <w:ind w:firstLine="643" w:firstLineChars="200"/>
        <w:textAlignment w:val="auto"/>
        <w:rPr>
          <w:rFonts w:hint="eastAsia" w:ascii="宋体" w:hAnsi="宋体" w:eastAsia="宋体" w:cs="宋体"/>
          <w:b/>
          <w:bCs/>
          <w:sz w:val="32"/>
          <w:szCs w:val="32"/>
        </w:rPr>
      </w:pPr>
      <w:r>
        <w:rPr>
          <w:rFonts w:hint="eastAsia" w:ascii="宋体" w:hAnsi="宋体" w:eastAsia="宋体" w:cs="宋体"/>
          <w:b/>
          <w:bCs/>
          <w:sz w:val="32"/>
          <w:szCs w:val="32"/>
        </w:rPr>
        <w:t>（三）专项支出管理和使用情况</w:t>
      </w:r>
      <w:bookmarkEnd w:id="12"/>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宋体" w:hAnsi="宋体" w:cs="宋体"/>
          <w:sz w:val="32"/>
          <w:szCs w:val="32"/>
        </w:rPr>
      </w:pPr>
      <w:r>
        <w:rPr>
          <w:rFonts w:hint="eastAsia" w:ascii="宋体" w:hAnsi="宋体" w:cs="宋体"/>
          <w:sz w:val="32"/>
          <w:szCs w:val="32"/>
        </w:rPr>
        <w:t>1、2018年度项目预算情况。</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宋体" w:hAnsi="宋体" w:cs="宋体"/>
          <w:snapToGrid w:val="0"/>
          <w:kern w:val="0"/>
          <w:sz w:val="32"/>
          <w:szCs w:val="32"/>
        </w:rPr>
      </w:pPr>
      <w:r>
        <w:rPr>
          <w:rFonts w:hint="eastAsia" w:ascii="宋体" w:hAnsi="宋体" w:cs="宋体"/>
          <w:snapToGrid w:val="0"/>
          <w:kern w:val="0"/>
          <w:sz w:val="32"/>
          <w:szCs w:val="32"/>
        </w:rPr>
        <w:t>根据市委、市政府安排的工作任务和市文联2018年工作目标，市文联结合实际开展各项工作，2018年项目支出预算60万元。具体情况如下:</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宋体" w:hAnsi="宋体" w:cs="宋体"/>
          <w:sz w:val="32"/>
          <w:szCs w:val="32"/>
        </w:rPr>
      </w:pPr>
      <w:r>
        <w:rPr>
          <w:rFonts w:hint="eastAsia" w:ascii="宋体" w:hAnsi="宋体" w:cs="宋体"/>
          <w:sz w:val="32"/>
          <w:szCs w:val="32"/>
          <w:lang w:eastAsia="zh-CN"/>
        </w:rPr>
        <w:t>（</w:t>
      </w:r>
      <w:r>
        <w:rPr>
          <w:rFonts w:hint="eastAsia" w:ascii="宋体" w:hAnsi="宋体" w:cs="宋体"/>
          <w:sz w:val="32"/>
          <w:szCs w:val="32"/>
          <w:lang w:val="en-US" w:eastAsia="zh-CN"/>
        </w:rPr>
        <w:t>1</w:t>
      </w:r>
      <w:r>
        <w:rPr>
          <w:rFonts w:hint="eastAsia" w:ascii="宋体" w:hAnsi="宋体" w:cs="宋体"/>
          <w:sz w:val="32"/>
          <w:szCs w:val="32"/>
          <w:lang w:eastAsia="zh-CN"/>
        </w:rPr>
        <w:t>）</w:t>
      </w:r>
      <w:r>
        <w:rPr>
          <w:rFonts w:hint="eastAsia" w:ascii="宋体" w:hAnsi="宋体" w:cs="宋体"/>
          <w:sz w:val="32"/>
          <w:szCs w:val="32"/>
        </w:rPr>
        <w:t>潇湘创作专项35万元</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宋体" w:hAnsi="宋体" w:cs="宋体"/>
          <w:sz w:val="32"/>
          <w:szCs w:val="32"/>
        </w:rPr>
      </w:pPr>
      <w:r>
        <w:rPr>
          <w:rFonts w:hint="eastAsia" w:ascii="宋体" w:hAnsi="宋体" w:cs="宋体"/>
          <w:sz w:val="32"/>
          <w:szCs w:val="32"/>
          <w:lang w:eastAsia="zh-CN"/>
        </w:rPr>
        <w:t>（</w:t>
      </w:r>
      <w:r>
        <w:rPr>
          <w:rFonts w:hint="eastAsia" w:ascii="宋体" w:hAnsi="宋体" w:cs="宋体"/>
          <w:sz w:val="32"/>
          <w:szCs w:val="32"/>
          <w:lang w:val="en-US" w:eastAsia="zh-CN"/>
        </w:rPr>
        <w:t>2</w:t>
      </w:r>
      <w:r>
        <w:rPr>
          <w:rFonts w:hint="eastAsia" w:ascii="宋体" w:hAnsi="宋体" w:cs="宋体"/>
          <w:sz w:val="32"/>
          <w:szCs w:val="32"/>
          <w:lang w:eastAsia="zh-CN"/>
        </w:rPr>
        <w:t>）</w:t>
      </w:r>
      <w:r>
        <w:rPr>
          <w:rFonts w:hint="eastAsia" w:ascii="宋体" w:hAnsi="宋体" w:cs="宋体"/>
          <w:sz w:val="32"/>
          <w:szCs w:val="32"/>
        </w:rPr>
        <w:t>重大文艺活动经费19.2万元</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eastAsia" w:ascii="宋体" w:hAnsi="宋体" w:cs="宋体"/>
          <w:sz w:val="32"/>
          <w:szCs w:val="32"/>
        </w:rPr>
      </w:pPr>
      <w:r>
        <w:rPr>
          <w:rFonts w:hint="eastAsia" w:ascii="宋体" w:hAnsi="宋体" w:cs="宋体"/>
          <w:sz w:val="32"/>
          <w:szCs w:val="32"/>
          <w:lang w:eastAsia="zh-CN"/>
        </w:rPr>
        <w:t>（</w:t>
      </w:r>
      <w:r>
        <w:rPr>
          <w:rFonts w:hint="eastAsia" w:ascii="宋体" w:hAnsi="宋体" w:cs="宋体"/>
          <w:sz w:val="32"/>
          <w:szCs w:val="32"/>
          <w:lang w:val="en-US" w:eastAsia="zh-CN"/>
        </w:rPr>
        <w:t>3</w:t>
      </w:r>
      <w:r>
        <w:rPr>
          <w:rFonts w:hint="eastAsia" w:ascii="宋体" w:hAnsi="宋体" w:cs="宋体"/>
          <w:sz w:val="32"/>
          <w:szCs w:val="32"/>
          <w:lang w:eastAsia="zh-CN"/>
        </w:rPr>
        <w:t>）</w:t>
      </w:r>
      <w:r>
        <w:rPr>
          <w:rFonts w:hint="eastAsia" w:ascii="宋体" w:hAnsi="宋体" w:cs="宋体"/>
          <w:sz w:val="32"/>
          <w:szCs w:val="32"/>
        </w:rPr>
        <w:t>政府采购5.8万元</w:t>
      </w:r>
    </w:p>
    <w:p>
      <w:pPr>
        <w:keepNext w:val="0"/>
        <w:keepLines w:val="0"/>
        <w:pageBreakBefore w:val="0"/>
        <w:widowControl w:val="0"/>
        <w:kinsoku/>
        <w:wordWrap/>
        <w:overflowPunct/>
        <w:topLinePunct w:val="0"/>
        <w:autoSpaceDE/>
        <w:autoSpaceDN/>
        <w:bidi w:val="0"/>
        <w:adjustRightInd w:val="0"/>
        <w:snapToGrid w:val="0"/>
        <w:spacing w:line="600" w:lineRule="exact"/>
        <w:jc w:val="left"/>
        <w:textAlignment w:val="auto"/>
        <w:rPr>
          <w:rFonts w:hint="eastAsia" w:ascii="宋体" w:hAnsi="宋体" w:cs="宋体"/>
          <w:sz w:val="32"/>
          <w:szCs w:val="32"/>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宋体" w:hAnsi="宋体" w:cs="宋体"/>
          <w:sz w:val="32"/>
          <w:szCs w:val="32"/>
        </w:rPr>
      </w:pPr>
      <w:r>
        <w:rPr>
          <w:rFonts w:hint="eastAsia" w:ascii="宋体" w:hAnsi="宋体" w:cs="宋体"/>
          <w:sz w:val="32"/>
          <w:szCs w:val="32"/>
          <w:lang w:val="en-US" w:eastAsia="zh-CN"/>
        </w:rPr>
        <w:t>2、</w:t>
      </w:r>
      <w:r>
        <w:rPr>
          <w:rFonts w:hint="eastAsia" w:ascii="宋体" w:hAnsi="宋体" w:cs="宋体"/>
          <w:sz w:val="32"/>
          <w:szCs w:val="32"/>
        </w:rPr>
        <w:t>专项资金预算投入情况</w:t>
      </w:r>
    </w:p>
    <w:p>
      <w:pPr>
        <w:adjustRightInd w:val="0"/>
        <w:snapToGrid w:val="0"/>
        <w:spacing w:line="440" w:lineRule="exact"/>
        <w:ind w:firstLine="480" w:firstLineChars="200"/>
        <w:jc w:val="right"/>
        <w:rPr>
          <w:rFonts w:hint="eastAsia" w:ascii="宋体" w:hAnsi="宋体" w:cs="宋体"/>
          <w:sz w:val="28"/>
          <w:szCs w:val="28"/>
        </w:rPr>
      </w:pPr>
      <w:r>
        <w:rPr>
          <w:rFonts w:hint="eastAsia" w:ascii="宋体" w:hAnsi="宋体" w:cs="宋体"/>
          <w:sz w:val="24"/>
          <w:szCs w:val="24"/>
        </w:rPr>
        <w:t xml:space="preserve">                                                       单位：万元</w:t>
      </w:r>
    </w:p>
    <w:tbl>
      <w:tblPr>
        <w:tblStyle w:val="9"/>
        <w:tblW w:w="0" w:type="auto"/>
        <w:tblInd w:w="0" w:type="dxa"/>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809"/>
        <w:gridCol w:w="1065"/>
        <w:gridCol w:w="1137"/>
        <w:gridCol w:w="1193"/>
        <w:gridCol w:w="1077"/>
        <w:gridCol w:w="1121"/>
        <w:gridCol w:w="1120"/>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35" w:hRule="atLeast"/>
        </w:trPr>
        <w:tc>
          <w:tcPr>
            <w:tcW w:w="1809"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项目</w:t>
            </w:r>
          </w:p>
        </w:tc>
        <w:tc>
          <w:tcPr>
            <w:tcW w:w="1065"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上年</w:t>
            </w:r>
          </w:p>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结余</w:t>
            </w:r>
          </w:p>
        </w:tc>
        <w:tc>
          <w:tcPr>
            <w:tcW w:w="1137"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本年</w:t>
            </w:r>
          </w:p>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预算</w:t>
            </w:r>
          </w:p>
        </w:tc>
        <w:tc>
          <w:tcPr>
            <w:tcW w:w="1193"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财政</w:t>
            </w:r>
          </w:p>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追加</w:t>
            </w:r>
          </w:p>
        </w:tc>
        <w:tc>
          <w:tcPr>
            <w:tcW w:w="1077"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可用</w:t>
            </w:r>
          </w:p>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预算</w:t>
            </w:r>
          </w:p>
        </w:tc>
        <w:tc>
          <w:tcPr>
            <w:tcW w:w="1121"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决算</w:t>
            </w:r>
          </w:p>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金额</w:t>
            </w:r>
          </w:p>
        </w:tc>
        <w:tc>
          <w:tcPr>
            <w:tcW w:w="1120"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结余/</w:t>
            </w:r>
          </w:p>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超支</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35" w:hRule="atLeast"/>
        </w:trPr>
        <w:tc>
          <w:tcPr>
            <w:tcW w:w="1809"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潇湘创作专项</w:t>
            </w:r>
          </w:p>
        </w:tc>
        <w:tc>
          <w:tcPr>
            <w:tcW w:w="1065"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c>
          <w:tcPr>
            <w:tcW w:w="1137"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35</w:t>
            </w:r>
          </w:p>
        </w:tc>
        <w:tc>
          <w:tcPr>
            <w:tcW w:w="1193"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c>
          <w:tcPr>
            <w:tcW w:w="1077"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35</w:t>
            </w:r>
          </w:p>
        </w:tc>
        <w:tc>
          <w:tcPr>
            <w:tcW w:w="1121"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35</w:t>
            </w:r>
          </w:p>
        </w:tc>
        <w:tc>
          <w:tcPr>
            <w:tcW w:w="1120"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35" w:hRule="atLeast"/>
        </w:trPr>
        <w:tc>
          <w:tcPr>
            <w:tcW w:w="1809"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重大文艺活动</w:t>
            </w:r>
          </w:p>
        </w:tc>
        <w:tc>
          <w:tcPr>
            <w:tcW w:w="1065"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c>
          <w:tcPr>
            <w:tcW w:w="1137"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19.2</w:t>
            </w:r>
          </w:p>
        </w:tc>
        <w:tc>
          <w:tcPr>
            <w:tcW w:w="1193"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80.3</w:t>
            </w:r>
          </w:p>
        </w:tc>
        <w:tc>
          <w:tcPr>
            <w:tcW w:w="1077"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99.5</w:t>
            </w:r>
          </w:p>
        </w:tc>
        <w:tc>
          <w:tcPr>
            <w:tcW w:w="1121"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99.5</w:t>
            </w:r>
          </w:p>
        </w:tc>
        <w:tc>
          <w:tcPr>
            <w:tcW w:w="1120"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35" w:hRule="atLeast"/>
        </w:trPr>
        <w:tc>
          <w:tcPr>
            <w:tcW w:w="1809"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政府采购</w:t>
            </w:r>
          </w:p>
        </w:tc>
        <w:tc>
          <w:tcPr>
            <w:tcW w:w="1065"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c>
          <w:tcPr>
            <w:tcW w:w="1137"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5.8</w:t>
            </w:r>
          </w:p>
        </w:tc>
        <w:tc>
          <w:tcPr>
            <w:tcW w:w="1193"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c>
          <w:tcPr>
            <w:tcW w:w="1077"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5.8</w:t>
            </w:r>
          </w:p>
        </w:tc>
        <w:tc>
          <w:tcPr>
            <w:tcW w:w="1121"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5.8</w:t>
            </w:r>
          </w:p>
        </w:tc>
        <w:tc>
          <w:tcPr>
            <w:tcW w:w="1120"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704" w:hRule="atLeast"/>
        </w:trPr>
        <w:tc>
          <w:tcPr>
            <w:tcW w:w="1809"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line="4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直属文艺家协会工作考核</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line="400" w:lineRule="exact"/>
              <w:jc w:val="center"/>
              <w:textAlignment w:val="auto"/>
              <w:rPr>
                <w:rFonts w:hint="eastAsia" w:asciiTheme="majorEastAsia" w:hAnsiTheme="majorEastAsia" w:eastAsiaTheme="majorEastAsia"/>
                <w:sz w:val="24"/>
                <w:szCs w:val="24"/>
              </w:rPr>
            </w:pPr>
          </w:p>
        </w:tc>
        <w:tc>
          <w:tcPr>
            <w:tcW w:w="1137"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line="4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c>
          <w:tcPr>
            <w:tcW w:w="1193"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line="4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38</w:t>
            </w:r>
          </w:p>
        </w:tc>
        <w:tc>
          <w:tcPr>
            <w:tcW w:w="1077"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line="4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38</w:t>
            </w:r>
          </w:p>
        </w:tc>
        <w:tc>
          <w:tcPr>
            <w:tcW w:w="1121"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line="4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38</w:t>
            </w:r>
          </w:p>
        </w:tc>
        <w:tc>
          <w:tcPr>
            <w:tcW w:w="1120"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line="400" w:lineRule="exact"/>
              <w:jc w:val="center"/>
              <w:textAlignment w:val="auto"/>
              <w:rPr>
                <w:rFonts w:hint="eastAsia" w:asciiTheme="majorEastAsia" w:hAnsiTheme="majorEastAsia" w:eastAsiaTheme="majorEastAsia"/>
                <w:sz w:val="24"/>
                <w:szCs w:val="24"/>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35" w:hRule="atLeast"/>
        </w:trPr>
        <w:tc>
          <w:tcPr>
            <w:tcW w:w="1809"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合  计</w:t>
            </w:r>
          </w:p>
        </w:tc>
        <w:tc>
          <w:tcPr>
            <w:tcW w:w="1065"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c>
          <w:tcPr>
            <w:tcW w:w="1137"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60</w:t>
            </w:r>
          </w:p>
        </w:tc>
        <w:tc>
          <w:tcPr>
            <w:tcW w:w="1193"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156.3</w:t>
            </w:r>
          </w:p>
        </w:tc>
        <w:tc>
          <w:tcPr>
            <w:tcW w:w="1077"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178.3</w:t>
            </w:r>
          </w:p>
        </w:tc>
        <w:tc>
          <w:tcPr>
            <w:tcW w:w="1121"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178.3</w:t>
            </w:r>
          </w:p>
        </w:tc>
        <w:tc>
          <w:tcPr>
            <w:tcW w:w="1120" w:type="dxa"/>
            <w:noWrap w:val="0"/>
            <w:vAlign w:val="center"/>
          </w:tcPr>
          <w:p>
            <w:pPr>
              <w:keepNext w:val="0"/>
              <w:keepLines w:val="0"/>
              <w:pageBreakBefore w:val="0"/>
              <w:kinsoku/>
              <w:wordWrap/>
              <w:overflowPunct/>
              <w:topLinePunct w:val="0"/>
              <w:autoSpaceDE/>
              <w:autoSpaceDN/>
              <w:bidi w:val="0"/>
              <w:adjustRightInd/>
              <w:snapToGrid/>
              <w:spacing w:beforeAutospacing="0" w:line="600" w:lineRule="exact"/>
              <w:jc w:val="center"/>
              <w:textAlignment w:val="auto"/>
              <w:rPr>
                <w:rFonts w:hint="eastAsia" w:asciiTheme="majorEastAsia" w:hAnsiTheme="majorEastAsia" w:eastAsiaTheme="majorEastAsia"/>
                <w:sz w:val="24"/>
                <w:szCs w:val="24"/>
              </w:rPr>
            </w:pPr>
            <w:r>
              <w:rPr>
                <w:rFonts w:hint="eastAsia" w:asciiTheme="majorEastAsia" w:hAnsiTheme="majorEastAsia" w:eastAsiaTheme="majorEastAsia"/>
                <w:sz w:val="24"/>
                <w:szCs w:val="24"/>
              </w:rPr>
              <w:t>0</w:t>
            </w:r>
          </w:p>
        </w:tc>
      </w:tr>
    </w:tbl>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宋体" w:hAnsi="宋体" w:cs="宋体"/>
          <w:sz w:val="32"/>
          <w:szCs w:val="32"/>
        </w:rPr>
      </w:pPr>
      <w:r>
        <w:rPr>
          <w:rFonts w:hint="eastAsia" w:ascii="宋体" w:hAnsi="宋体" w:cs="宋体"/>
          <w:sz w:val="32"/>
          <w:szCs w:val="32"/>
          <w:lang w:val="en-US" w:eastAsia="zh-CN"/>
        </w:rPr>
        <w:t>3</w:t>
      </w:r>
      <w:r>
        <w:rPr>
          <w:rFonts w:hint="eastAsia" w:ascii="宋体" w:hAnsi="宋体" w:cs="宋体"/>
          <w:sz w:val="32"/>
          <w:szCs w:val="32"/>
        </w:rPr>
        <w:t>、专项资金的管理情况</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宋体" w:hAnsi="宋体" w:cs="宋体"/>
          <w:sz w:val="32"/>
          <w:szCs w:val="32"/>
        </w:rPr>
      </w:pPr>
      <w:r>
        <w:rPr>
          <w:rFonts w:hint="eastAsia" w:ascii="宋体" w:hAnsi="宋体" w:cs="宋体"/>
          <w:sz w:val="32"/>
          <w:szCs w:val="32"/>
        </w:rPr>
        <w:t>（1）市文联对专项项目制定专项资金管理制度，明确了专项资金用途及审批等要求，但因今年文联机构改革后职能增加，举办活动增多导致专项资金支付增加。</w:t>
      </w:r>
    </w:p>
    <w:p>
      <w:pPr>
        <w:keepNext w:val="0"/>
        <w:keepLines w:val="0"/>
        <w:pageBreakBefore w:val="0"/>
        <w:widowControl w:val="0"/>
        <w:kinsoku/>
        <w:wordWrap/>
        <w:overflowPunct/>
        <w:topLinePunct w:val="0"/>
        <w:autoSpaceDE/>
        <w:autoSpaceDN/>
        <w:bidi w:val="0"/>
        <w:adjustRightInd/>
        <w:snapToGrid/>
        <w:spacing w:beforeAutospacing="0" w:line="600" w:lineRule="exact"/>
        <w:ind w:firstLine="640" w:firstLineChars="200"/>
        <w:textAlignment w:val="auto"/>
        <w:rPr>
          <w:rFonts w:hint="eastAsia" w:ascii="黑体" w:hAnsi="黑体" w:eastAsia="黑体" w:cs="黑体"/>
          <w:sz w:val="32"/>
          <w:szCs w:val="32"/>
        </w:rPr>
      </w:pPr>
      <w:bookmarkStart w:id="13" w:name="_Toc413785909"/>
      <w:r>
        <w:rPr>
          <w:rFonts w:hint="eastAsia" w:ascii="黑体" w:hAnsi="黑体" w:eastAsia="黑体" w:cs="黑体"/>
          <w:sz w:val="32"/>
          <w:szCs w:val="32"/>
        </w:rPr>
        <w:t>四、部门专项组织实施情况</w:t>
      </w:r>
      <w:bookmarkEnd w:id="13"/>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宋体" w:hAnsi="宋体" w:cs="宋体"/>
          <w:sz w:val="32"/>
          <w:szCs w:val="32"/>
        </w:rPr>
      </w:pPr>
      <w:r>
        <w:rPr>
          <w:rFonts w:hint="eastAsia" w:ascii="宋体" w:hAnsi="宋体" w:cs="宋体"/>
          <w:sz w:val="32"/>
          <w:szCs w:val="32"/>
        </w:rPr>
        <w:t>2018年度，</w:t>
      </w:r>
      <w:bookmarkStart w:id="14" w:name="_Toc413785910"/>
      <w:r>
        <w:rPr>
          <w:rFonts w:hint="eastAsia" w:ascii="宋体" w:hAnsi="宋体" w:cs="宋体"/>
          <w:sz w:val="32"/>
          <w:szCs w:val="32"/>
        </w:rPr>
        <w:t>继续加强永州文艺品牌的塑造。全年策划组织开展“推名家、出名作”大讨论活动，大力推进文艺精品创作；期间组织推出市评论家协会主席郑山明作品《乡愁的滋味》研讨会和永州知名画家刘双全国画精作展览研讨，得到了省内相关专家学者的好评；围绕5·23文艺志愿者服务日，开展系列文艺志愿服务活动。5月29日晚，在祁阳县白竹湖广场举行了“笑满三相——到人民中去”省文艺志愿者走进永州（祁阳）专场演出活动，大雨中为千余名热情观众奉上了一场精彩晚会；承办了湖南省</w:t>
      </w:r>
      <w:r>
        <w:rPr>
          <w:rFonts w:ascii="宋体" w:hAnsi="宋体" w:cs="宋体"/>
          <w:sz w:val="32"/>
          <w:szCs w:val="32"/>
        </w:rPr>
        <w:t>‘</w:t>
      </w:r>
      <w:r>
        <w:rPr>
          <w:rFonts w:hint="eastAsia" w:ascii="宋体" w:hAnsi="宋体" w:cs="宋体"/>
          <w:sz w:val="32"/>
          <w:szCs w:val="32"/>
        </w:rPr>
        <w:t>中国梦·文学梦·湖南篇章</w:t>
      </w:r>
      <w:r>
        <w:rPr>
          <w:rFonts w:ascii="宋体" w:hAnsi="宋体" w:cs="宋体"/>
          <w:sz w:val="32"/>
          <w:szCs w:val="32"/>
        </w:rPr>
        <w:t>’</w:t>
      </w:r>
      <w:r>
        <w:rPr>
          <w:rFonts w:hint="eastAsia" w:ascii="宋体" w:hAnsi="宋体" w:cs="宋体"/>
          <w:sz w:val="32"/>
          <w:szCs w:val="32"/>
        </w:rPr>
        <w:t>文学活动；40余名省内外作家以文学的方式助力推动我市湘江保护和生态文明建设工作；在市委宣传部总揽下，完成了第三届“永州市文艺奖”的评奖颁奖工作；“欢乐潇湘”群众美术、书法、摄影活动群众参与度高，成效显著。继续办好《潇湘》文学杂志，改革了版式，提高了稿酬，创新了稿件审用方式，扩大了赠阅范围，推介了一批文学新人，杂志的艺术性和可读性得到增强。改进了“一脉湘水”微信平台的版面，丰富了内容，强化了互动功能，增强了可读性，平台的新媒体作用得到充分发挥，阅读量和粉丝量稳步攀升，新增关注量1500人，在全省全市产生了较大的影响力。目前，该平台固定粉丝已达7000人，成为永州文艺界关注量最多的官方文艺公众号。对全市11个直属文艺家协会实行量化考核。通过激励机制，对工作先进的单位进行奖励，产生了良好的激励作用，促进了协会和文联工作的双突破，创作成果和文艺界风气得到大的提升，各直属协会13名会员晋升为国家级会员。</w:t>
      </w:r>
    </w:p>
    <w:p>
      <w:pPr>
        <w:keepNext w:val="0"/>
        <w:keepLines w:val="0"/>
        <w:pageBreakBefore w:val="0"/>
        <w:widowControl w:val="0"/>
        <w:kinsoku/>
        <w:wordWrap/>
        <w:overflowPunct/>
        <w:topLinePunct w:val="0"/>
        <w:autoSpaceDE/>
        <w:autoSpaceDN/>
        <w:bidi w:val="0"/>
        <w:adjustRightInd/>
        <w:snapToGrid/>
        <w:spacing w:beforeAutospacing="0" w:line="6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五、部门整体支出绩效情况</w:t>
      </w:r>
      <w:bookmarkEnd w:id="14"/>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宋体" w:hAnsi="宋体" w:cs="宋体"/>
          <w:sz w:val="32"/>
          <w:szCs w:val="32"/>
        </w:rPr>
      </w:pPr>
      <w:r>
        <w:rPr>
          <w:rFonts w:hint="eastAsia" w:ascii="宋体" w:hAnsi="宋体" w:cs="宋体"/>
          <w:sz w:val="32"/>
          <w:szCs w:val="32"/>
        </w:rPr>
        <w:t>2019年，市文联认真贯彻</w:t>
      </w:r>
      <w:r>
        <w:rPr>
          <w:rFonts w:hint="eastAsia" w:ascii="宋体" w:hAnsi="宋体" w:cs="宋体"/>
          <w:sz w:val="32"/>
          <w:szCs w:val="32"/>
          <w:lang w:eastAsia="zh-CN"/>
        </w:rPr>
        <w:t>习近平总书记系列重要讲话精神</w:t>
      </w:r>
      <w:r>
        <w:rPr>
          <w:rFonts w:hint="eastAsia" w:ascii="宋体" w:hAnsi="宋体" w:cs="宋体"/>
          <w:sz w:val="32"/>
          <w:szCs w:val="32"/>
        </w:rPr>
        <w:t>，紧紧围绕发展大局，策划文艺活动，推动文艺创作，不断创新，各项工作上台阶，文联工作的影响力继续扩大，为推动永州繁荣和发展作出了积极努力，全市文艺工作亮点纷呈。通过前面对部门整体支出情况的概述和实际支出情况的分析，部门整体支出绩效目标管理情况评价如下：</w:t>
      </w:r>
    </w:p>
    <w:p>
      <w:pPr>
        <w:keepNext w:val="0"/>
        <w:keepLines w:val="0"/>
        <w:pageBreakBefore w:val="0"/>
        <w:widowControl w:val="0"/>
        <w:kinsoku/>
        <w:wordWrap/>
        <w:overflowPunct/>
        <w:topLinePunct w:val="0"/>
        <w:autoSpaceDE/>
        <w:autoSpaceDN/>
        <w:bidi w:val="0"/>
        <w:adjustRightInd/>
        <w:snapToGrid/>
        <w:spacing w:beforeAutospacing="0" w:line="600" w:lineRule="exact"/>
        <w:ind w:firstLine="643" w:firstLineChars="200"/>
        <w:textAlignment w:val="auto"/>
        <w:rPr>
          <w:rFonts w:hint="eastAsia" w:ascii="宋体" w:hAnsi="宋体" w:eastAsia="宋体" w:cs="宋体"/>
          <w:b/>
          <w:bCs/>
          <w:sz w:val="32"/>
          <w:szCs w:val="32"/>
        </w:rPr>
      </w:pPr>
      <w:bookmarkStart w:id="15" w:name="_Toc413785911"/>
      <w:r>
        <w:rPr>
          <w:rFonts w:hint="eastAsia" w:ascii="宋体" w:hAnsi="宋体" w:eastAsia="宋体" w:cs="宋体"/>
          <w:b/>
          <w:bCs/>
          <w:sz w:val="32"/>
          <w:szCs w:val="32"/>
        </w:rPr>
        <w:t>（一）经济性评价</w:t>
      </w:r>
      <w:bookmarkEnd w:id="15"/>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宋体" w:hAnsi="宋体" w:cs="宋体"/>
          <w:sz w:val="32"/>
          <w:szCs w:val="32"/>
        </w:rPr>
      </w:pPr>
      <w:r>
        <w:rPr>
          <w:rFonts w:hint="eastAsia" w:ascii="宋体" w:hAnsi="宋体" w:cs="宋体"/>
          <w:sz w:val="32"/>
          <w:szCs w:val="32"/>
        </w:rPr>
        <w:t>本年预算配置：财政供养人员控制在预算编制以内，在职人员控制率小于 0.01%；三公经费预算总额较上年持平。根据湘财预【2013】46号关于严控“三公经费”预算管理的通知，未来5年内，各部门“三公经费”预算原则上不再增加，因此市文联的三公经费预算编制和执行是控制有效的。</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宋体" w:hAnsi="宋体" w:cs="宋体"/>
          <w:sz w:val="32"/>
          <w:szCs w:val="32"/>
        </w:rPr>
      </w:pPr>
      <w:r>
        <w:rPr>
          <w:rFonts w:hint="eastAsia" w:ascii="宋体" w:hAnsi="宋体" w:cs="宋体"/>
          <w:sz w:val="32"/>
          <w:szCs w:val="32"/>
        </w:rPr>
        <w:t>预算执行方面，支出总额控制在预算总额以内，根据财政预算批复，对财政专项资金追加预算，随财政预算拨款指标文件和资金拨付的时间及进度，及时进行了指标的下达和资金的拨付，不存在截留或滞留专项资金情况；预算管理方面管理制度需要完善，制度的执行有待进一步强化，资金使用的合规性有待进一步规范。资产管理方面应细化和完善资产管理制度，财务核算在制度上有待完善、执行上有待提高。</w:t>
      </w:r>
    </w:p>
    <w:p>
      <w:pPr>
        <w:keepNext w:val="0"/>
        <w:keepLines w:val="0"/>
        <w:pageBreakBefore w:val="0"/>
        <w:widowControl w:val="0"/>
        <w:kinsoku/>
        <w:wordWrap/>
        <w:overflowPunct/>
        <w:topLinePunct w:val="0"/>
        <w:autoSpaceDE/>
        <w:autoSpaceDN/>
        <w:bidi w:val="0"/>
        <w:adjustRightInd/>
        <w:snapToGrid/>
        <w:spacing w:beforeAutospacing="0" w:line="600" w:lineRule="exact"/>
        <w:ind w:firstLine="643" w:firstLineChars="200"/>
        <w:textAlignment w:val="auto"/>
        <w:rPr>
          <w:rFonts w:hint="eastAsia" w:ascii="宋体" w:hAnsi="宋体" w:eastAsia="宋体" w:cs="宋体"/>
          <w:b/>
          <w:bCs/>
          <w:sz w:val="32"/>
          <w:szCs w:val="32"/>
        </w:rPr>
      </w:pPr>
      <w:bookmarkStart w:id="16" w:name="_Toc413785912"/>
      <w:r>
        <w:rPr>
          <w:rFonts w:hint="eastAsia" w:ascii="宋体" w:hAnsi="宋体" w:eastAsia="宋体" w:cs="宋体"/>
          <w:b/>
          <w:bCs/>
          <w:sz w:val="32"/>
          <w:szCs w:val="32"/>
        </w:rPr>
        <w:t>（二）效率性评价和有效性评价</w:t>
      </w:r>
      <w:bookmarkEnd w:id="16"/>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outlineLvl w:val="1"/>
        <w:rPr>
          <w:rFonts w:ascii="宋体" w:hAnsi="宋体" w:cs="宋体"/>
          <w:sz w:val="32"/>
          <w:szCs w:val="32"/>
        </w:rPr>
      </w:pPr>
      <w:r>
        <w:rPr>
          <w:rFonts w:hint="eastAsia" w:ascii="宋体" w:hAnsi="宋体" w:cs="宋体"/>
          <w:sz w:val="32"/>
          <w:szCs w:val="32"/>
        </w:rPr>
        <w:t>2018年市文联的工作总结资料显示，</w:t>
      </w:r>
      <w:bookmarkStart w:id="17" w:name="_Toc413785913"/>
      <w:r>
        <w:rPr>
          <w:rFonts w:hint="eastAsia" w:ascii="宋体" w:hAnsi="宋体" w:cs="宋体"/>
          <w:sz w:val="32"/>
          <w:szCs w:val="32"/>
        </w:rPr>
        <w:t>全年策划组织开展“推名家、出名作”大讨论活动，大力推进文艺精品创作；期间组织推出市评论家协会主席郑山明作品《乡愁的滋味》研讨会和永州知名画家刘双全国画精作展览研讨，得到了省内相关专家学者的好评；围绕5·23文艺志愿者服务日，开展系列文艺志愿服务活动。5月29日晚，在祁阳县白竹湖广场举行了“笑满三相——到人民中去”省文艺志愿者走进永州（祁阳）专场演出活动，大雨中为千余名热情观众奉上了一场精彩晚会；承办了湖南省</w:t>
      </w:r>
      <w:r>
        <w:rPr>
          <w:rFonts w:ascii="宋体" w:hAnsi="宋体" w:cs="宋体"/>
          <w:sz w:val="32"/>
          <w:szCs w:val="32"/>
        </w:rPr>
        <w:t>‘</w:t>
      </w:r>
      <w:r>
        <w:rPr>
          <w:rFonts w:hint="eastAsia" w:ascii="宋体" w:hAnsi="宋体" w:cs="宋体"/>
          <w:sz w:val="32"/>
          <w:szCs w:val="32"/>
        </w:rPr>
        <w:t>中国梦·文学梦·湖南篇章</w:t>
      </w:r>
      <w:r>
        <w:rPr>
          <w:rFonts w:ascii="宋体" w:hAnsi="宋体" w:cs="宋体"/>
          <w:sz w:val="32"/>
          <w:szCs w:val="32"/>
        </w:rPr>
        <w:t>’</w:t>
      </w:r>
      <w:r>
        <w:rPr>
          <w:rFonts w:hint="eastAsia" w:ascii="宋体" w:hAnsi="宋体" w:cs="宋体"/>
          <w:sz w:val="32"/>
          <w:szCs w:val="32"/>
        </w:rPr>
        <w:t>文学活动；40余名省内外作家以文学的方式助力推动我市湘江保护和生态文明建设工作；在市委宣传部总揽下，完成了第三届“永州市文艺奖”的评奖颁奖工作；“欢乐潇湘”群众美术、书法、摄影活动群众参与度高，成效显著。建立健全党组会议制度、领导班子民主生活会会议制度、学习中心组理论学习制度、干部职工学习制度、党风廉政制度、考勤、请假制度、调查研究制度、财务管理制度、接待工作制度、车辆管理制度等13个制度，建立工作人员去向牌，各项管理更加规范。</w:t>
      </w:r>
    </w:p>
    <w:p>
      <w:pPr>
        <w:keepNext w:val="0"/>
        <w:keepLines w:val="0"/>
        <w:pageBreakBefore w:val="0"/>
        <w:widowControl w:val="0"/>
        <w:kinsoku/>
        <w:wordWrap/>
        <w:overflowPunct/>
        <w:topLinePunct w:val="0"/>
        <w:autoSpaceDE/>
        <w:autoSpaceDN/>
        <w:bidi w:val="0"/>
        <w:adjustRightInd/>
        <w:snapToGrid/>
        <w:spacing w:beforeAutospacing="0" w:line="600" w:lineRule="exact"/>
        <w:ind w:firstLine="643" w:firstLineChars="200"/>
        <w:textAlignment w:val="auto"/>
        <w:rPr>
          <w:rFonts w:hint="eastAsia" w:ascii="宋体" w:hAnsi="宋体" w:eastAsia="宋体" w:cs="宋体"/>
          <w:b/>
          <w:bCs/>
          <w:sz w:val="32"/>
          <w:szCs w:val="32"/>
        </w:rPr>
      </w:pPr>
      <w:r>
        <w:rPr>
          <w:rFonts w:hint="eastAsia" w:ascii="宋体" w:hAnsi="宋体" w:eastAsia="宋体" w:cs="宋体"/>
          <w:b/>
          <w:bCs/>
          <w:sz w:val="32"/>
          <w:szCs w:val="32"/>
        </w:rPr>
        <w:t>（三）社会公众满意度评价</w:t>
      </w:r>
      <w:bookmarkEnd w:id="17"/>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宋体" w:hAnsi="宋体" w:cs="宋体"/>
          <w:sz w:val="32"/>
          <w:szCs w:val="32"/>
        </w:rPr>
      </w:pPr>
      <w:r>
        <w:rPr>
          <w:rFonts w:hint="eastAsia" w:ascii="宋体" w:hAnsi="宋体" w:cs="宋体"/>
          <w:sz w:val="32"/>
          <w:szCs w:val="32"/>
        </w:rPr>
        <w:t>2018年，市文联较好的完成了部门的工作任务。对县区文联和各直属文艺家协会的组织管理能力增强，全市文艺作品创作数量和质量都有所提高，《潇湘》杂志的影响力扩大，文艺活动的群众参与度提高，文艺工作的影响力增强，文联在服务全市发展，促进精神文明建设，扩大地方宣传等方面发挥了重要的作用。</w:t>
      </w:r>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宋体" w:hAnsi="宋体" w:cs="宋体"/>
          <w:sz w:val="32"/>
          <w:szCs w:val="32"/>
        </w:rPr>
      </w:pPr>
      <w:r>
        <w:rPr>
          <w:rFonts w:hint="eastAsia" w:ascii="宋体" w:hAnsi="宋体" w:cs="宋体"/>
          <w:sz w:val="32"/>
          <w:szCs w:val="32"/>
        </w:rPr>
        <w:t>综上述，通过逐项打分（详见“</w:t>
      </w:r>
      <w:r>
        <w:rPr>
          <w:rFonts w:hint="eastAsia" w:ascii="宋体" w:hAnsi="宋体" w:cs="宋体"/>
          <w:bCs/>
          <w:sz w:val="32"/>
          <w:szCs w:val="32"/>
        </w:rPr>
        <w:t>2018年永州市文联部门整体支出绩效评价表”）得分为94分，评价等级为“优”。</w:t>
      </w:r>
    </w:p>
    <w:p>
      <w:pPr>
        <w:keepNext w:val="0"/>
        <w:keepLines w:val="0"/>
        <w:pageBreakBefore w:val="0"/>
        <w:widowControl w:val="0"/>
        <w:kinsoku/>
        <w:wordWrap/>
        <w:overflowPunct/>
        <w:topLinePunct w:val="0"/>
        <w:autoSpaceDE/>
        <w:autoSpaceDN/>
        <w:bidi w:val="0"/>
        <w:adjustRightInd/>
        <w:snapToGrid/>
        <w:spacing w:beforeAutospacing="0" w:line="600" w:lineRule="exact"/>
        <w:ind w:firstLine="640" w:firstLineChars="200"/>
        <w:textAlignment w:val="auto"/>
        <w:rPr>
          <w:rFonts w:hint="eastAsia" w:ascii="黑体" w:hAnsi="黑体" w:eastAsia="黑体" w:cs="黑体"/>
          <w:sz w:val="32"/>
          <w:szCs w:val="32"/>
        </w:rPr>
      </w:pPr>
      <w:bookmarkStart w:id="18" w:name="_Toc413785914"/>
      <w:r>
        <w:rPr>
          <w:rFonts w:hint="eastAsia" w:ascii="黑体" w:hAnsi="黑体" w:eastAsia="黑体" w:cs="黑体"/>
          <w:sz w:val="32"/>
          <w:szCs w:val="32"/>
        </w:rPr>
        <w:t>六、存在的主要问题</w:t>
      </w:r>
      <w:bookmarkEnd w:id="18"/>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宋体" w:hAnsi="宋体" w:cs="宋体"/>
          <w:sz w:val="32"/>
          <w:szCs w:val="32"/>
        </w:rPr>
      </w:pPr>
      <w:r>
        <w:rPr>
          <w:rFonts w:hint="eastAsia" w:ascii="宋体" w:hAnsi="宋体" w:cs="宋体"/>
          <w:sz w:val="32"/>
          <w:szCs w:val="32"/>
        </w:rPr>
        <w:t>从前述的市文联整体支出情况分析反映，在整体支出的预算编制、执行和管理过程中，依然存在一些问题和不足，针对这些不足，市文联将积极采取改进措施，不断规范和强化管理，持续改进。</w:t>
      </w:r>
    </w:p>
    <w:p>
      <w:pPr>
        <w:keepNext w:val="0"/>
        <w:keepLines w:val="0"/>
        <w:pageBreakBefore w:val="0"/>
        <w:widowControl w:val="0"/>
        <w:kinsoku/>
        <w:wordWrap/>
        <w:overflowPunct/>
        <w:topLinePunct w:val="0"/>
        <w:autoSpaceDE/>
        <w:autoSpaceDN/>
        <w:bidi w:val="0"/>
        <w:adjustRightInd/>
        <w:snapToGrid/>
        <w:spacing w:beforeAutospacing="0" w:line="600" w:lineRule="exact"/>
        <w:ind w:firstLine="643" w:firstLineChars="200"/>
        <w:textAlignment w:val="auto"/>
        <w:rPr>
          <w:rFonts w:hint="eastAsia" w:ascii="宋体" w:hAnsi="宋体" w:eastAsia="宋体" w:cs="宋体"/>
          <w:b/>
          <w:bCs/>
          <w:sz w:val="32"/>
          <w:szCs w:val="32"/>
        </w:rPr>
      </w:pPr>
      <w:bookmarkStart w:id="19" w:name="_Toc413785915"/>
      <w:r>
        <w:rPr>
          <w:rFonts w:hint="eastAsia" w:ascii="宋体" w:hAnsi="宋体" w:eastAsia="宋体" w:cs="宋体"/>
          <w:b/>
          <w:bCs/>
          <w:sz w:val="32"/>
          <w:szCs w:val="32"/>
        </w:rPr>
        <w:t>（一）预算编制问题</w:t>
      </w:r>
      <w:bookmarkEnd w:id="19"/>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宋体" w:hAnsi="宋体" w:cs="宋体"/>
          <w:sz w:val="32"/>
          <w:szCs w:val="32"/>
          <w:highlight w:val="yellow"/>
        </w:rPr>
      </w:pPr>
      <w:r>
        <w:rPr>
          <w:rFonts w:hint="eastAsia" w:ascii="宋体" w:hAnsi="宋体" w:cs="宋体"/>
          <w:sz w:val="32"/>
          <w:szCs w:val="32"/>
        </w:rPr>
        <w:t>市文联根据预算编制要求，“人员经费预算应按编制内实有人数和规定的工资、津贴、补贴等标准编制；公用经费本着勤俭节约原则编制”，上述超支的存在，说明没有严格按照预算编制的要求进行预算的编制，预算编制的计划性和严谨性有待提高。总基本商品服务支出超支1.36万元，对个人和家庭的补助超支0万元，需加强对预算执行的细化管理。</w:t>
      </w:r>
    </w:p>
    <w:p>
      <w:pPr>
        <w:keepNext w:val="0"/>
        <w:keepLines w:val="0"/>
        <w:pageBreakBefore w:val="0"/>
        <w:widowControl w:val="0"/>
        <w:kinsoku/>
        <w:wordWrap/>
        <w:overflowPunct/>
        <w:topLinePunct w:val="0"/>
        <w:autoSpaceDE/>
        <w:autoSpaceDN/>
        <w:bidi w:val="0"/>
        <w:adjustRightInd/>
        <w:snapToGrid/>
        <w:spacing w:beforeAutospacing="0" w:line="600" w:lineRule="exact"/>
        <w:ind w:firstLine="643" w:firstLineChars="200"/>
        <w:textAlignment w:val="auto"/>
        <w:rPr>
          <w:rFonts w:hint="eastAsia" w:ascii="宋体" w:hAnsi="宋体" w:eastAsia="宋体" w:cs="宋体"/>
          <w:b/>
          <w:bCs/>
          <w:sz w:val="32"/>
          <w:szCs w:val="32"/>
        </w:rPr>
      </w:pPr>
      <w:bookmarkStart w:id="20" w:name="_Toc413785916"/>
      <w:r>
        <w:rPr>
          <w:rFonts w:hint="eastAsia" w:ascii="宋体" w:hAnsi="宋体" w:eastAsia="宋体" w:cs="宋体"/>
          <w:b/>
          <w:bCs/>
          <w:sz w:val="32"/>
          <w:szCs w:val="32"/>
        </w:rPr>
        <w:t>（二）预算执行问题</w:t>
      </w:r>
      <w:bookmarkEnd w:id="20"/>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宋体" w:hAnsi="宋体" w:cs="宋体"/>
          <w:sz w:val="32"/>
          <w:szCs w:val="32"/>
        </w:rPr>
      </w:pPr>
      <w:r>
        <w:rPr>
          <w:rFonts w:hint="eastAsia" w:ascii="宋体" w:hAnsi="宋体" w:cs="宋体"/>
          <w:sz w:val="32"/>
          <w:szCs w:val="32"/>
        </w:rPr>
        <w:t>项目支出综合超支118.3万元，均因文联深化改革，机构职能增加，人员增多，举行活动增多导致专项资金支付增加。说明在预算执行过程中，项目费用支出存在过多现象。违反了预算法中“预算支出要严格按照预算规定的项目和用途使用资金”的规定。</w:t>
      </w:r>
    </w:p>
    <w:p>
      <w:pPr>
        <w:keepNext w:val="0"/>
        <w:keepLines w:val="0"/>
        <w:pageBreakBefore w:val="0"/>
        <w:widowControl w:val="0"/>
        <w:kinsoku/>
        <w:wordWrap/>
        <w:overflowPunct/>
        <w:topLinePunct w:val="0"/>
        <w:autoSpaceDE/>
        <w:autoSpaceDN/>
        <w:bidi w:val="0"/>
        <w:adjustRightInd/>
        <w:snapToGrid/>
        <w:spacing w:beforeAutospacing="0" w:line="600" w:lineRule="exact"/>
        <w:ind w:firstLine="640" w:firstLineChars="200"/>
        <w:textAlignment w:val="auto"/>
        <w:rPr>
          <w:rFonts w:hint="eastAsia" w:ascii="黑体" w:hAnsi="黑体" w:eastAsia="黑体" w:cs="黑体"/>
          <w:sz w:val="32"/>
          <w:szCs w:val="32"/>
        </w:rPr>
      </w:pPr>
      <w:bookmarkStart w:id="21" w:name="_Toc413785917"/>
      <w:r>
        <w:rPr>
          <w:rFonts w:hint="eastAsia" w:ascii="黑体" w:hAnsi="黑体" w:eastAsia="黑体" w:cs="黑体"/>
          <w:sz w:val="32"/>
          <w:szCs w:val="32"/>
        </w:rPr>
        <w:t>七、具体建议</w:t>
      </w:r>
      <w:bookmarkEnd w:id="21"/>
    </w:p>
    <w:p>
      <w:pPr>
        <w:keepNext w:val="0"/>
        <w:keepLines w:val="0"/>
        <w:pageBreakBefore w:val="0"/>
        <w:widowControl w:val="0"/>
        <w:kinsoku/>
        <w:wordWrap/>
        <w:overflowPunct/>
        <w:topLinePunct w:val="0"/>
        <w:autoSpaceDE/>
        <w:autoSpaceDN/>
        <w:bidi w:val="0"/>
        <w:adjustRightInd/>
        <w:snapToGrid/>
        <w:spacing w:beforeAutospacing="0" w:line="600" w:lineRule="exact"/>
        <w:ind w:firstLine="643" w:firstLineChars="200"/>
        <w:textAlignment w:val="auto"/>
        <w:rPr>
          <w:rFonts w:hint="eastAsia" w:ascii="宋体" w:hAnsi="宋体" w:eastAsia="宋体" w:cs="宋体"/>
          <w:b/>
          <w:bCs/>
          <w:sz w:val="32"/>
          <w:szCs w:val="32"/>
        </w:rPr>
      </w:pPr>
      <w:bookmarkStart w:id="22" w:name="_Toc413785918"/>
      <w:r>
        <w:rPr>
          <w:rFonts w:hint="eastAsia" w:ascii="宋体" w:hAnsi="宋体" w:eastAsia="宋体" w:cs="宋体"/>
          <w:b/>
          <w:bCs/>
          <w:sz w:val="32"/>
          <w:szCs w:val="32"/>
        </w:rPr>
        <w:t>（一）要加强预算管理，严格执行《预算法》。</w:t>
      </w:r>
      <w:bookmarkEnd w:id="22"/>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宋体" w:hAnsi="宋体" w:cs="宋体"/>
          <w:sz w:val="32"/>
          <w:szCs w:val="32"/>
        </w:rPr>
      </w:pPr>
      <w:r>
        <w:rPr>
          <w:rFonts w:hint="eastAsia" w:ascii="宋体" w:hAnsi="宋体" w:cs="宋体"/>
          <w:sz w:val="32"/>
          <w:szCs w:val="32"/>
        </w:rPr>
        <w:t>应严格《预算法》执行部门预算，按照人大批复的部门预算和绩效目标的项目和用途使用资金，不得擅自调剂使用。在预算金额内严格控制费用的支出，控制超支现象的发生。对于年度无法预计的临时追加的相关工作所需费用，用其他费用项目结余资金调剂使用或需要追加费用预算的，要按照费用预算调整的报批程序，经批准后才能使用。在费用报账支付时，要严格审核，控制费用跨年度报账，确保费用核算的及时性和完整性；按照费用的实际使用用途进行资金支付和财务列报，严格按照行政事业单位会计制度进行财务核算。</w:t>
      </w:r>
    </w:p>
    <w:p>
      <w:pPr>
        <w:keepNext w:val="0"/>
        <w:keepLines w:val="0"/>
        <w:pageBreakBefore w:val="0"/>
        <w:widowControl w:val="0"/>
        <w:kinsoku/>
        <w:wordWrap/>
        <w:overflowPunct/>
        <w:topLinePunct w:val="0"/>
        <w:autoSpaceDE/>
        <w:autoSpaceDN/>
        <w:bidi w:val="0"/>
        <w:adjustRightInd/>
        <w:snapToGrid/>
        <w:spacing w:beforeAutospacing="0" w:line="600" w:lineRule="exact"/>
        <w:ind w:firstLine="643" w:firstLineChars="200"/>
        <w:textAlignment w:val="auto"/>
        <w:rPr>
          <w:rFonts w:hint="eastAsia" w:ascii="宋体" w:hAnsi="宋体" w:eastAsia="宋体" w:cs="宋体"/>
          <w:b/>
          <w:bCs/>
          <w:sz w:val="32"/>
          <w:szCs w:val="32"/>
        </w:rPr>
      </w:pPr>
      <w:bookmarkStart w:id="23" w:name="_Toc413785919"/>
      <w:r>
        <w:rPr>
          <w:rFonts w:hint="eastAsia" w:ascii="宋体" w:hAnsi="宋体" w:eastAsia="宋体" w:cs="宋体"/>
          <w:b/>
          <w:bCs/>
          <w:sz w:val="32"/>
          <w:szCs w:val="32"/>
        </w:rPr>
        <w:t>（二）加强项目资金管理，严格规范项目资金使用及审批制度。</w:t>
      </w:r>
      <w:bookmarkEnd w:id="23"/>
    </w:p>
    <w:p>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宋体" w:hAnsi="宋体" w:cs="宋体"/>
          <w:sz w:val="32"/>
          <w:szCs w:val="32"/>
        </w:rPr>
      </w:pPr>
      <w:r>
        <w:rPr>
          <w:rFonts w:hint="eastAsia" w:ascii="宋体" w:hAnsi="宋体" w:cs="宋体"/>
          <w:sz w:val="32"/>
          <w:szCs w:val="32"/>
        </w:rPr>
        <w:t>建立和规范专项资金管理制度，明确专项资金使用范围，严格规范专项资金的审批程序，切实做好专项资金专款专用，严禁专项资金挪作他用。设置专项资金科目进行核算，真实反馈专项资金使用情况，严禁专项资金在项目间自行调剂。</w:t>
      </w:r>
    </w:p>
    <w:p>
      <w:pPr>
        <w:adjustRightInd w:val="0"/>
        <w:snapToGrid w:val="0"/>
        <w:spacing w:line="400" w:lineRule="exact"/>
        <w:ind w:firstLine="440" w:firstLineChars="200"/>
        <w:rPr>
          <w:rFonts w:hint="eastAsia" w:ascii="宋体" w:hAnsi="宋体" w:cs="宋体"/>
          <w:sz w:val="22"/>
          <w:szCs w:val="22"/>
        </w:rPr>
      </w:pPr>
    </w:p>
    <w:p>
      <w:pPr>
        <w:rPr>
          <w:rFonts w:hint="eastAsia" w:ascii="黑体" w:hAnsi="宋体" w:eastAsia="黑体" w:cs="宋体"/>
          <w:bCs/>
          <w:kern w:val="0"/>
          <w:sz w:val="32"/>
          <w:szCs w:val="32"/>
        </w:rPr>
      </w:pPr>
      <w:r>
        <w:rPr>
          <w:rFonts w:hint="eastAsia" w:ascii="黑体" w:hAnsi="宋体" w:eastAsia="黑体" w:cs="宋体"/>
          <w:bCs/>
          <w:kern w:val="0"/>
          <w:sz w:val="32"/>
          <w:szCs w:val="32"/>
        </w:rPr>
        <w:br w:type="page"/>
      </w:r>
    </w:p>
    <w:p>
      <w:pPr>
        <w:widowControl/>
        <w:rPr>
          <w:rFonts w:hint="eastAsia" w:ascii="黑体" w:hAnsi="宋体" w:eastAsia="黑体" w:cs="宋体"/>
          <w:bCs/>
          <w:kern w:val="0"/>
          <w:sz w:val="32"/>
          <w:szCs w:val="32"/>
        </w:rPr>
      </w:pPr>
      <w:r>
        <w:rPr>
          <w:rFonts w:hint="eastAsia" w:ascii="黑体" w:hAnsi="宋体" w:eastAsia="黑体" w:cs="宋体"/>
          <w:bCs/>
          <w:kern w:val="0"/>
          <w:sz w:val="32"/>
          <w:szCs w:val="32"/>
        </w:rPr>
        <w:t>附件1</w:t>
      </w:r>
    </w:p>
    <w:p>
      <w:pPr>
        <w:ind w:right="480" w:firstLine="562" w:firstLineChars="200"/>
        <w:jc w:val="center"/>
        <w:rPr>
          <w:rFonts w:hint="eastAsia" w:ascii="宋体" w:hAnsi="宋体" w:cs="宋体"/>
          <w:b/>
          <w:bCs/>
          <w:sz w:val="28"/>
          <w:szCs w:val="28"/>
        </w:rPr>
      </w:pPr>
      <w:r>
        <w:rPr>
          <w:rFonts w:hint="eastAsia" w:ascii="宋体" w:hAnsi="宋体" w:cs="宋体"/>
          <w:b/>
          <w:bCs/>
          <w:sz w:val="28"/>
          <w:szCs w:val="28"/>
        </w:rPr>
        <w:t>2018年永州市文学艺术界联合会</w:t>
      </w:r>
    </w:p>
    <w:p>
      <w:pPr>
        <w:ind w:right="480" w:firstLine="562" w:firstLineChars="200"/>
        <w:jc w:val="center"/>
        <w:rPr>
          <w:rFonts w:hint="eastAsia" w:ascii="宋体" w:hAnsi="宋体" w:cs="宋体"/>
          <w:sz w:val="28"/>
          <w:szCs w:val="28"/>
        </w:rPr>
      </w:pPr>
      <w:r>
        <w:rPr>
          <w:rFonts w:hint="eastAsia" w:ascii="宋体" w:hAnsi="宋体" w:cs="宋体"/>
          <w:b/>
          <w:bCs/>
          <w:sz w:val="28"/>
          <w:szCs w:val="28"/>
        </w:rPr>
        <w:t>部门整体支出绩效评价表</w:t>
      </w:r>
    </w:p>
    <w:tbl>
      <w:tblPr>
        <w:tblStyle w:val="9"/>
        <w:tblW w:w="0" w:type="auto"/>
        <w:jc w:val="center"/>
        <w:tblLayout w:type="fixed"/>
        <w:tblCellMar>
          <w:top w:w="0" w:type="dxa"/>
          <w:left w:w="108" w:type="dxa"/>
          <w:bottom w:w="0" w:type="dxa"/>
          <w:right w:w="108" w:type="dxa"/>
        </w:tblCellMar>
      </w:tblPr>
      <w:tblGrid>
        <w:gridCol w:w="518"/>
        <w:gridCol w:w="416"/>
        <w:gridCol w:w="677"/>
        <w:gridCol w:w="416"/>
        <w:gridCol w:w="1014"/>
        <w:gridCol w:w="416"/>
        <w:gridCol w:w="3016"/>
        <w:gridCol w:w="3490"/>
        <w:gridCol w:w="637"/>
      </w:tblGrid>
      <w:tr>
        <w:tblPrEx>
          <w:tblCellMar>
            <w:top w:w="0" w:type="dxa"/>
            <w:left w:w="108" w:type="dxa"/>
            <w:bottom w:w="0" w:type="dxa"/>
            <w:right w:w="108" w:type="dxa"/>
          </w:tblCellMar>
        </w:tblPrEx>
        <w:trPr>
          <w:tblHeader/>
          <w:jc w:val="center"/>
        </w:trPr>
        <w:tc>
          <w:tcPr>
            <w:tcW w:w="518"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仿宋_GB2312"/>
                <w:kern w:val="0"/>
                <w:sz w:val="20"/>
                <w:szCs w:val="20"/>
              </w:rPr>
            </w:pPr>
            <w:r>
              <w:rPr>
                <w:rFonts w:eastAsia="仿宋_GB2312"/>
                <w:kern w:val="0"/>
                <w:sz w:val="20"/>
                <w:szCs w:val="20"/>
              </w:rPr>
              <w:t>一级指标</w:t>
            </w:r>
          </w:p>
        </w:tc>
        <w:tc>
          <w:tcPr>
            <w:tcW w:w="416" w:type="dxa"/>
            <w:tcBorders>
              <w:top w:val="single" w:color="auto" w:sz="4" w:space="0"/>
              <w:left w:val="nil"/>
              <w:bottom w:val="single" w:color="auto" w:sz="4" w:space="0"/>
              <w:right w:val="single" w:color="auto" w:sz="4" w:space="0"/>
            </w:tcBorders>
            <w:noWrap w:val="0"/>
            <w:vAlign w:val="center"/>
          </w:tcPr>
          <w:p>
            <w:pPr>
              <w:widowControl/>
              <w:jc w:val="center"/>
              <w:rPr>
                <w:rFonts w:eastAsia="仿宋_GB2312"/>
                <w:kern w:val="0"/>
                <w:sz w:val="20"/>
                <w:szCs w:val="20"/>
              </w:rPr>
            </w:pPr>
            <w:r>
              <w:rPr>
                <w:rFonts w:eastAsia="仿宋_GB2312"/>
                <w:kern w:val="0"/>
                <w:sz w:val="20"/>
                <w:szCs w:val="20"/>
              </w:rPr>
              <w:t>分值</w:t>
            </w:r>
          </w:p>
        </w:tc>
        <w:tc>
          <w:tcPr>
            <w:tcW w:w="677" w:type="dxa"/>
            <w:tcBorders>
              <w:top w:val="single" w:color="auto" w:sz="4" w:space="0"/>
              <w:left w:val="nil"/>
              <w:bottom w:val="single" w:color="auto" w:sz="4" w:space="0"/>
              <w:right w:val="single" w:color="auto" w:sz="4" w:space="0"/>
            </w:tcBorders>
            <w:noWrap w:val="0"/>
            <w:vAlign w:val="center"/>
          </w:tcPr>
          <w:p>
            <w:pPr>
              <w:widowControl/>
              <w:jc w:val="center"/>
              <w:rPr>
                <w:rFonts w:eastAsia="仿宋_GB2312"/>
                <w:kern w:val="0"/>
                <w:sz w:val="20"/>
                <w:szCs w:val="20"/>
              </w:rPr>
            </w:pPr>
            <w:r>
              <w:rPr>
                <w:rFonts w:eastAsia="仿宋_GB2312"/>
                <w:kern w:val="0"/>
                <w:sz w:val="20"/>
                <w:szCs w:val="20"/>
              </w:rPr>
              <w:t>二级指标</w:t>
            </w:r>
          </w:p>
        </w:tc>
        <w:tc>
          <w:tcPr>
            <w:tcW w:w="416" w:type="dxa"/>
            <w:tcBorders>
              <w:top w:val="single" w:color="auto" w:sz="4" w:space="0"/>
              <w:left w:val="nil"/>
              <w:bottom w:val="single" w:color="auto" w:sz="4" w:space="0"/>
              <w:right w:val="single" w:color="auto" w:sz="4" w:space="0"/>
            </w:tcBorders>
            <w:noWrap w:val="0"/>
            <w:vAlign w:val="center"/>
          </w:tcPr>
          <w:p>
            <w:pPr>
              <w:widowControl/>
              <w:jc w:val="center"/>
              <w:rPr>
                <w:rFonts w:eastAsia="仿宋_GB2312"/>
                <w:kern w:val="0"/>
                <w:sz w:val="20"/>
                <w:szCs w:val="20"/>
              </w:rPr>
            </w:pPr>
            <w:r>
              <w:rPr>
                <w:rFonts w:eastAsia="仿宋_GB2312"/>
                <w:kern w:val="0"/>
                <w:sz w:val="20"/>
                <w:szCs w:val="20"/>
              </w:rPr>
              <w:t>分值</w:t>
            </w:r>
          </w:p>
        </w:tc>
        <w:tc>
          <w:tcPr>
            <w:tcW w:w="1014" w:type="dxa"/>
            <w:tcBorders>
              <w:top w:val="single" w:color="auto" w:sz="4" w:space="0"/>
              <w:left w:val="nil"/>
              <w:bottom w:val="single" w:color="auto" w:sz="4" w:space="0"/>
              <w:right w:val="single" w:color="auto" w:sz="4" w:space="0"/>
            </w:tcBorders>
            <w:noWrap w:val="0"/>
            <w:vAlign w:val="center"/>
          </w:tcPr>
          <w:p>
            <w:pPr>
              <w:widowControl/>
              <w:jc w:val="center"/>
              <w:rPr>
                <w:rFonts w:eastAsia="仿宋_GB2312"/>
                <w:kern w:val="0"/>
                <w:sz w:val="20"/>
                <w:szCs w:val="20"/>
              </w:rPr>
            </w:pPr>
            <w:r>
              <w:rPr>
                <w:rFonts w:eastAsia="仿宋_GB2312"/>
                <w:kern w:val="0"/>
                <w:sz w:val="20"/>
                <w:szCs w:val="20"/>
              </w:rPr>
              <w:t>三级</w:t>
            </w:r>
          </w:p>
          <w:p>
            <w:pPr>
              <w:widowControl/>
              <w:jc w:val="center"/>
              <w:rPr>
                <w:rFonts w:eastAsia="仿宋_GB2312"/>
                <w:kern w:val="0"/>
                <w:sz w:val="20"/>
                <w:szCs w:val="20"/>
              </w:rPr>
            </w:pPr>
            <w:r>
              <w:rPr>
                <w:rFonts w:eastAsia="仿宋_GB2312"/>
                <w:kern w:val="0"/>
                <w:sz w:val="20"/>
                <w:szCs w:val="20"/>
              </w:rPr>
              <w:t>指标</w:t>
            </w:r>
          </w:p>
        </w:tc>
        <w:tc>
          <w:tcPr>
            <w:tcW w:w="416" w:type="dxa"/>
            <w:tcBorders>
              <w:top w:val="single" w:color="auto" w:sz="4" w:space="0"/>
              <w:left w:val="nil"/>
              <w:bottom w:val="single" w:color="auto" w:sz="4" w:space="0"/>
              <w:right w:val="single" w:color="auto" w:sz="4" w:space="0"/>
            </w:tcBorders>
            <w:noWrap w:val="0"/>
            <w:vAlign w:val="center"/>
          </w:tcPr>
          <w:p>
            <w:pPr>
              <w:widowControl/>
              <w:jc w:val="center"/>
              <w:rPr>
                <w:rFonts w:eastAsia="仿宋_GB2312"/>
                <w:kern w:val="0"/>
                <w:sz w:val="20"/>
                <w:szCs w:val="20"/>
              </w:rPr>
            </w:pPr>
            <w:r>
              <w:rPr>
                <w:rFonts w:eastAsia="仿宋_GB2312"/>
                <w:kern w:val="0"/>
                <w:sz w:val="20"/>
                <w:szCs w:val="20"/>
              </w:rPr>
              <w:t>分值</w:t>
            </w:r>
          </w:p>
        </w:tc>
        <w:tc>
          <w:tcPr>
            <w:tcW w:w="3016" w:type="dxa"/>
            <w:tcBorders>
              <w:top w:val="single" w:color="auto" w:sz="4" w:space="0"/>
              <w:left w:val="nil"/>
              <w:bottom w:val="single" w:color="auto" w:sz="4" w:space="0"/>
              <w:right w:val="single" w:color="auto" w:sz="4" w:space="0"/>
            </w:tcBorders>
            <w:noWrap w:val="0"/>
            <w:vAlign w:val="center"/>
          </w:tcPr>
          <w:p>
            <w:pPr>
              <w:widowControl/>
              <w:jc w:val="center"/>
              <w:rPr>
                <w:rFonts w:eastAsia="仿宋_GB2312"/>
                <w:kern w:val="0"/>
                <w:sz w:val="20"/>
                <w:szCs w:val="20"/>
              </w:rPr>
            </w:pPr>
            <w:r>
              <w:rPr>
                <w:rFonts w:eastAsia="仿宋_GB2312"/>
                <w:kern w:val="0"/>
                <w:sz w:val="20"/>
                <w:szCs w:val="20"/>
              </w:rPr>
              <w:t>评价标准</w:t>
            </w:r>
          </w:p>
        </w:tc>
        <w:tc>
          <w:tcPr>
            <w:tcW w:w="3490" w:type="dxa"/>
            <w:tcBorders>
              <w:top w:val="single" w:color="auto" w:sz="4" w:space="0"/>
              <w:left w:val="nil"/>
              <w:bottom w:val="single" w:color="auto" w:sz="4" w:space="0"/>
              <w:right w:val="single" w:color="auto" w:sz="4" w:space="0"/>
            </w:tcBorders>
            <w:noWrap w:val="0"/>
            <w:vAlign w:val="center"/>
          </w:tcPr>
          <w:p>
            <w:pPr>
              <w:widowControl/>
              <w:jc w:val="center"/>
              <w:rPr>
                <w:rFonts w:eastAsia="仿宋_GB2312"/>
                <w:kern w:val="0"/>
                <w:sz w:val="20"/>
                <w:szCs w:val="20"/>
              </w:rPr>
            </w:pPr>
            <w:r>
              <w:rPr>
                <w:rFonts w:eastAsia="仿宋_GB2312"/>
                <w:kern w:val="0"/>
                <w:sz w:val="20"/>
                <w:szCs w:val="20"/>
              </w:rPr>
              <w:t>指标说明</w:t>
            </w:r>
          </w:p>
        </w:tc>
        <w:tc>
          <w:tcPr>
            <w:tcW w:w="637" w:type="dxa"/>
            <w:tcBorders>
              <w:top w:val="single" w:color="auto" w:sz="4" w:space="0"/>
              <w:left w:val="nil"/>
              <w:bottom w:val="single" w:color="auto" w:sz="4" w:space="0"/>
              <w:right w:val="single" w:color="auto" w:sz="4" w:space="0"/>
            </w:tcBorders>
            <w:noWrap w:val="0"/>
            <w:vAlign w:val="center"/>
          </w:tcPr>
          <w:p>
            <w:pPr>
              <w:widowControl/>
              <w:jc w:val="center"/>
              <w:rPr>
                <w:rFonts w:eastAsia="仿宋_GB2312"/>
                <w:kern w:val="0"/>
                <w:sz w:val="20"/>
                <w:szCs w:val="20"/>
              </w:rPr>
            </w:pPr>
            <w:r>
              <w:rPr>
                <w:rFonts w:eastAsia="仿宋_GB2312"/>
                <w:kern w:val="0"/>
                <w:sz w:val="20"/>
                <w:szCs w:val="20"/>
              </w:rPr>
              <w:t>得分</w:t>
            </w:r>
          </w:p>
        </w:tc>
      </w:tr>
      <w:tr>
        <w:tblPrEx>
          <w:tblCellMar>
            <w:top w:w="0" w:type="dxa"/>
            <w:left w:w="108" w:type="dxa"/>
            <w:bottom w:w="0" w:type="dxa"/>
            <w:right w:w="108" w:type="dxa"/>
          </w:tblCellMar>
        </w:tblPrEx>
        <w:trPr>
          <w:trHeight w:val="1814" w:hRule="atLeast"/>
          <w:jc w:val="center"/>
        </w:trPr>
        <w:tc>
          <w:tcPr>
            <w:tcW w:w="518"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eastAsia="仿宋_GB2312"/>
                <w:kern w:val="0"/>
                <w:sz w:val="20"/>
                <w:szCs w:val="20"/>
              </w:rPr>
            </w:pPr>
            <w:r>
              <w:rPr>
                <w:rFonts w:eastAsia="仿宋_GB2312"/>
                <w:kern w:val="0"/>
                <w:sz w:val="20"/>
                <w:szCs w:val="20"/>
              </w:rPr>
              <w:t>投入</w:t>
            </w:r>
          </w:p>
        </w:tc>
        <w:tc>
          <w:tcPr>
            <w:tcW w:w="416"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eastAsia="仿宋_GB2312"/>
                <w:kern w:val="0"/>
                <w:sz w:val="20"/>
                <w:szCs w:val="20"/>
              </w:rPr>
            </w:pPr>
            <w:r>
              <w:rPr>
                <w:rFonts w:eastAsia="仿宋_GB2312"/>
                <w:kern w:val="0"/>
                <w:sz w:val="18"/>
                <w:szCs w:val="18"/>
              </w:rPr>
              <w:t>10</w:t>
            </w:r>
          </w:p>
        </w:tc>
        <w:tc>
          <w:tcPr>
            <w:tcW w:w="677" w:type="dxa"/>
            <w:vMerge w:val="restart"/>
            <w:tcBorders>
              <w:top w:val="nil"/>
              <w:left w:val="nil"/>
              <w:bottom w:val="single" w:color="auto" w:sz="4" w:space="0"/>
              <w:right w:val="single" w:color="auto" w:sz="4" w:space="0"/>
            </w:tcBorders>
            <w:noWrap w:val="0"/>
            <w:vAlign w:val="center"/>
          </w:tcPr>
          <w:p>
            <w:pPr>
              <w:widowControl/>
              <w:jc w:val="center"/>
              <w:rPr>
                <w:rFonts w:eastAsia="仿宋_GB2312"/>
                <w:kern w:val="0"/>
                <w:sz w:val="20"/>
                <w:szCs w:val="20"/>
              </w:rPr>
            </w:pPr>
            <w:r>
              <w:rPr>
                <w:rFonts w:eastAsia="仿宋_GB2312"/>
                <w:kern w:val="0"/>
                <w:sz w:val="20"/>
                <w:szCs w:val="20"/>
              </w:rPr>
              <w:t>预算配置</w:t>
            </w:r>
          </w:p>
        </w:tc>
        <w:tc>
          <w:tcPr>
            <w:tcW w:w="416"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eastAsia="仿宋_GB2312"/>
                <w:kern w:val="0"/>
                <w:sz w:val="20"/>
                <w:szCs w:val="20"/>
              </w:rPr>
            </w:pPr>
            <w:r>
              <w:rPr>
                <w:rFonts w:eastAsia="仿宋_GB2312"/>
                <w:kern w:val="0"/>
                <w:sz w:val="18"/>
                <w:szCs w:val="18"/>
              </w:rPr>
              <w:t>10</w:t>
            </w:r>
          </w:p>
        </w:tc>
        <w:tc>
          <w:tcPr>
            <w:tcW w:w="1014" w:type="dxa"/>
            <w:tcBorders>
              <w:top w:val="nil"/>
              <w:left w:val="nil"/>
              <w:bottom w:val="single" w:color="auto" w:sz="4" w:space="0"/>
              <w:right w:val="single" w:color="auto" w:sz="4" w:space="0"/>
            </w:tcBorders>
            <w:noWrap w:val="0"/>
            <w:vAlign w:val="center"/>
          </w:tcPr>
          <w:p>
            <w:pPr>
              <w:widowControl/>
              <w:jc w:val="left"/>
              <w:rPr>
                <w:rFonts w:eastAsia="仿宋_GB2312"/>
                <w:kern w:val="0"/>
                <w:sz w:val="20"/>
                <w:szCs w:val="20"/>
              </w:rPr>
            </w:pPr>
            <w:r>
              <w:rPr>
                <w:rFonts w:eastAsia="仿宋_GB2312"/>
                <w:kern w:val="0"/>
                <w:sz w:val="20"/>
                <w:szCs w:val="20"/>
              </w:rPr>
              <w:t>在职人员控制率</w:t>
            </w:r>
          </w:p>
        </w:tc>
        <w:tc>
          <w:tcPr>
            <w:tcW w:w="416" w:type="dxa"/>
            <w:tcBorders>
              <w:top w:val="nil"/>
              <w:left w:val="nil"/>
              <w:bottom w:val="single" w:color="auto" w:sz="4" w:space="0"/>
              <w:right w:val="single" w:color="auto" w:sz="4" w:space="0"/>
            </w:tcBorders>
            <w:noWrap w:val="0"/>
            <w:vAlign w:val="center"/>
          </w:tcPr>
          <w:p>
            <w:pPr>
              <w:widowControl/>
              <w:jc w:val="center"/>
              <w:rPr>
                <w:rFonts w:eastAsia="仿宋_GB2312"/>
                <w:kern w:val="0"/>
                <w:sz w:val="20"/>
                <w:szCs w:val="20"/>
              </w:rPr>
            </w:pPr>
            <w:r>
              <w:rPr>
                <w:rFonts w:eastAsia="仿宋_GB2312"/>
                <w:kern w:val="0"/>
                <w:sz w:val="20"/>
                <w:szCs w:val="20"/>
              </w:rPr>
              <w:t>5</w:t>
            </w:r>
          </w:p>
        </w:tc>
        <w:tc>
          <w:tcPr>
            <w:tcW w:w="3016" w:type="dxa"/>
            <w:tcBorders>
              <w:top w:val="nil"/>
              <w:left w:val="nil"/>
              <w:bottom w:val="nil"/>
              <w:right w:val="nil"/>
            </w:tcBorders>
            <w:noWrap w:val="0"/>
            <w:vAlign w:val="center"/>
          </w:tcPr>
          <w:p>
            <w:pPr>
              <w:widowControl/>
              <w:jc w:val="left"/>
              <w:rPr>
                <w:rFonts w:eastAsia="仿宋_GB2312"/>
                <w:kern w:val="0"/>
                <w:sz w:val="20"/>
                <w:szCs w:val="20"/>
              </w:rPr>
            </w:pPr>
            <w:r>
              <w:rPr>
                <w:rFonts w:eastAsia="仿宋_GB2312"/>
                <w:kern w:val="0"/>
                <w:sz w:val="20"/>
                <w:szCs w:val="20"/>
              </w:rPr>
              <w:t>以100%为标准。在职人员控制率</w:t>
            </w:r>
            <w:r>
              <w:rPr>
                <w:kern w:val="0"/>
                <w:sz w:val="20"/>
                <w:szCs w:val="20"/>
              </w:rPr>
              <w:t>≦</w:t>
            </w:r>
            <w:r>
              <w:rPr>
                <w:rFonts w:eastAsia="仿宋_GB2312"/>
                <w:kern w:val="0"/>
                <w:sz w:val="20"/>
                <w:szCs w:val="20"/>
              </w:rPr>
              <w:t>100%，计5分；每超过一个百分点扣0.5分，扣完为止。</w:t>
            </w:r>
          </w:p>
        </w:tc>
        <w:tc>
          <w:tcPr>
            <w:tcW w:w="3490" w:type="dxa"/>
            <w:tcBorders>
              <w:top w:val="nil"/>
              <w:left w:val="single" w:color="auto" w:sz="4" w:space="0"/>
              <w:bottom w:val="single" w:color="auto" w:sz="4" w:space="0"/>
              <w:right w:val="single" w:color="auto" w:sz="4" w:space="0"/>
            </w:tcBorders>
            <w:noWrap w:val="0"/>
            <w:vAlign w:val="center"/>
          </w:tcPr>
          <w:p>
            <w:pPr>
              <w:widowControl/>
              <w:jc w:val="left"/>
              <w:rPr>
                <w:rFonts w:eastAsia="仿宋_GB2312"/>
                <w:kern w:val="0"/>
                <w:sz w:val="20"/>
                <w:szCs w:val="20"/>
              </w:rPr>
            </w:pPr>
            <w:r>
              <w:rPr>
                <w:rFonts w:eastAsia="仿宋_GB2312"/>
                <w:kern w:val="0"/>
                <w:sz w:val="20"/>
                <w:szCs w:val="20"/>
              </w:rPr>
              <w:t>在职人员控制率=（在职人员数/编制数）×100%，在职人员数：部门（单位）实际在职人数，以</w:t>
            </w:r>
            <w:r>
              <w:rPr>
                <w:rFonts w:hint="eastAsia" w:eastAsia="仿宋_GB2312"/>
                <w:kern w:val="0"/>
                <w:sz w:val="20"/>
                <w:szCs w:val="20"/>
              </w:rPr>
              <w:t>市</w:t>
            </w:r>
            <w:r>
              <w:rPr>
                <w:rFonts w:eastAsia="仿宋_GB2312"/>
                <w:kern w:val="0"/>
                <w:sz w:val="20"/>
                <w:szCs w:val="20"/>
              </w:rPr>
              <w:t>财政</w:t>
            </w:r>
            <w:r>
              <w:rPr>
                <w:rFonts w:hint="eastAsia" w:eastAsia="仿宋_GB2312"/>
                <w:kern w:val="0"/>
                <w:sz w:val="20"/>
                <w:szCs w:val="20"/>
              </w:rPr>
              <w:t>局</w:t>
            </w:r>
            <w:r>
              <w:rPr>
                <w:rFonts w:eastAsia="仿宋_GB2312"/>
                <w:kern w:val="0"/>
                <w:sz w:val="20"/>
                <w:szCs w:val="20"/>
              </w:rPr>
              <w:t>确定的部门决算编制口径为准。</w:t>
            </w:r>
            <w:r>
              <w:rPr>
                <w:rFonts w:eastAsia="仿宋_GB2312"/>
                <w:kern w:val="0"/>
                <w:sz w:val="20"/>
                <w:szCs w:val="20"/>
              </w:rPr>
              <w:br w:type="textWrapping"/>
            </w:r>
            <w:r>
              <w:rPr>
                <w:rFonts w:eastAsia="仿宋_GB2312"/>
                <w:kern w:val="0"/>
                <w:sz w:val="20"/>
                <w:szCs w:val="20"/>
              </w:rPr>
              <w:t>编制数：机构编制部门核定批复的部门（单位）的人员编制数。</w:t>
            </w:r>
          </w:p>
        </w:tc>
        <w:tc>
          <w:tcPr>
            <w:tcW w:w="637" w:type="dxa"/>
            <w:tcBorders>
              <w:top w:val="nil"/>
              <w:left w:val="nil"/>
              <w:bottom w:val="single" w:color="auto" w:sz="4" w:space="0"/>
              <w:right w:val="single" w:color="auto" w:sz="4" w:space="0"/>
            </w:tcBorders>
            <w:noWrap w:val="0"/>
            <w:vAlign w:val="center"/>
          </w:tcPr>
          <w:p>
            <w:pPr>
              <w:widowControl/>
              <w:jc w:val="center"/>
              <w:rPr>
                <w:kern w:val="0"/>
                <w:sz w:val="24"/>
              </w:rPr>
            </w:pPr>
            <w:r>
              <w:rPr>
                <w:rFonts w:hint="eastAsia"/>
                <w:kern w:val="0"/>
                <w:sz w:val="24"/>
              </w:rPr>
              <w:t>5</w:t>
            </w:r>
          </w:p>
        </w:tc>
      </w:tr>
      <w:tr>
        <w:tblPrEx>
          <w:tblCellMar>
            <w:top w:w="0" w:type="dxa"/>
            <w:left w:w="108" w:type="dxa"/>
            <w:bottom w:w="0" w:type="dxa"/>
            <w:right w:w="108" w:type="dxa"/>
          </w:tblCellMar>
        </w:tblPrEx>
        <w:trPr>
          <w:jc w:val="center"/>
        </w:trPr>
        <w:tc>
          <w:tcPr>
            <w:tcW w:w="518"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eastAsia="仿宋_GB2312"/>
                <w:kern w:val="0"/>
                <w:sz w:val="20"/>
                <w:szCs w:val="20"/>
              </w:rPr>
            </w:pPr>
          </w:p>
        </w:tc>
        <w:tc>
          <w:tcPr>
            <w:tcW w:w="416"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仿宋_GB2312"/>
                <w:kern w:val="0"/>
                <w:sz w:val="20"/>
                <w:szCs w:val="20"/>
              </w:rPr>
            </w:pPr>
          </w:p>
        </w:tc>
        <w:tc>
          <w:tcPr>
            <w:tcW w:w="677" w:type="dxa"/>
            <w:vMerge w:val="continue"/>
            <w:tcBorders>
              <w:top w:val="nil"/>
              <w:left w:val="nil"/>
              <w:bottom w:val="single" w:color="auto" w:sz="4" w:space="0"/>
              <w:right w:val="single" w:color="auto" w:sz="4" w:space="0"/>
            </w:tcBorders>
            <w:noWrap w:val="0"/>
            <w:vAlign w:val="center"/>
          </w:tcPr>
          <w:p>
            <w:pPr>
              <w:widowControl/>
              <w:jc w:val="left"/>
              <w:rPr>
                <w:rFonts w:eastAsia="仿宋_GB2312"/>
                <w:kern w:val="0"/>
                <w:sz w:val="20"/>
                <w:szCs w:val="20"/>
              </w:rPr>
            </w:pPr>
          </w:p>
        </w:tc>
        <w:tc>
          <w:tcPr>
            <w:tcW w:w="416"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仿宋_GB2312"/>
                <w:kern w:val="0"/>
                <w:sz w:val="20"/>
                <w:szCs w:val="20"/>
              </w:rPr>
            </w:pPr>
          </w:p>
        </w:tc>
        <w:tc>
          <w:tcPr>
            <w:tcW w:w="1014" w:type="dxa"/>
            <w:tcBorders>
              <w:top w:val="nil"/>
              <w:left w:val="nil"/>
              <w:bottom w:val="single" w:color="auto" w:sz="4" w:space="0"/>
              <w:right w:val="single" w:color="auto" w:sz="4" w:space="0"/>
            </w:tcBorders>
            <w:noWrap w:val="0"/>
            <w:vAlign w:val="center"/>
          </w:tcPr>
          <w:p>
            <w:pPr>
              <w:widowControl/>
              <w:jc w:val="left"/>
              <w:rPr>
                <w:rFonts w:eastAsia="仿宋_GB2312"/>
                <w:kern w:val="0"/>
                <w:sz w:val="20"/>
                <w:szCs w:val="20"/>
              </w:rPr>
            </w:pPr>
            <w:r>
              <w:rPr>
                <w:rFonts w:eastAsia="仿宋_GB2312"/>
                <w:kern w:val="0"/>
                <w:sz w:val="20"/>
                <w:szCs w:val="20"/>
              </w:rPr>
              <w:t>“三公经费”变动率</w:t>
            </w:r>
          </w:p>
        </w:tc>
        <w:tc>
          <w:tcPr>
            <w:tcW w:w="416" w:type="dxa"/>
            <w:tcBorders>
              <w:top w:val="nil"/>
              <w:left w:val="nil"/>
              <w:bottom w:val="single" w:color="auto" w:sz="4" w:space="0"/>
              <w:right w:val="single" w:color="auto" w:sz="4" w:space="0"/>
            </w:tcBorders>
            <w:noWrap w:val="0"/>
            <w:vAlign w:val="center"/>
          </w:tcPr>
          <w:p>
            <w:pPr>
              <w:widowControl/>
              <w:jc w:val="center"/>
              <w:rPr>
                <w:rFonts w:eastAsia="仿宋_GB2312"/>
                <w:kern w:val="0"/>
                <w:sz w:val="20"/>
                <w:szCs w:val="20"/>
              </w:rPr>
            </w:pPr>
            <w:r>
              <w:rPr>
                <w:rFonts w:eastAsia="仿宋_GB2312"/>
                <w:kern w:val="0"/>
                <w:sz w:val="20"/>
                <w:szCs w:val="20"/>
              </w:rPr>
              <w:t>5</w:t>
            </w:r>
          </w:p>
        </w:tc>
        <w:tc>
          <w:tcPr>
            <w:tcW w:w="3016" w:type="dxa"/>
            <w:tcBorders>
              <w:top w:val="single" w:color="auto" w:sz="4" w:space="0"/>
              <w:left w:val="nil"/>
              <w:bottom w:val="single" w:color="auto" w:sz="4" w:space="0"/>
              <w:right w:val="single" w:color="auto" w:sz="4" w:space="0"/>
            </w:tcBorders>
            <w:noWrap w:val="0"/>
            <w:vAlign w:val="center"/>
          </w:tcPr>
          <w:p>
            <w:pPr>
              <w:widowControl/>
              <w:jc w:val="left"/>
              <w:rPr>
                <w:rFonts w:eastAsia="仿宋_GB2312"/>
                <w:kern w:val="0"/>
                <w:sz w:val="20"/>
                <w:szCs w:val="20"/>
              </w:rPr>
            </w:pPr>
            <w:r>
              <w:rPr>
                <w:rFonts w:eastAsia="仿宋_GB2312"/>
                <w:kern w:val="0"/>
                <w:sz w:val="20"/>
                <w:szCs w:val="20"/>
              </w:rPr>
              <w:t>“三公经费”变动率</w:t>
            </w:r>
            <w:r>
              <w:rPr>
                <w:kern w:val="0"/>
                <w:sz w:val="20"/>
                <w:szCs w:val="20"/>
              </w:rPr>
              <w:t>≦</w:t>
            </w:r>
            <w:r>
              <w:rPr>
                <w:rFonts w:eastAsia="仿宋_GB2312"/>
                <w:kern w:val="0"/>
                <w:sz w:val="20"/>
                <w:szCs w:val="20"/>
              </w:rPr>
              <w:t>0,计8分；“三公经费”＞0，每超过一个百分点扣0.8分，扣完为止。</w:t>
            </w:r>
          </w:p>
        </w:tc>
        <w:tc>
          <w:tcPr>
            <w:tcW w:w="3490" w:type="dxa"/>
            <w:tcBorders>
              <w:top w:val="nil"/>
              <w:left w:val="nil"/>
              <w:bottom w:val="single" w:color="auto" w:sz="4" w:space="0"/>
              <w:right w:val="single" w:color="auto" w:sz="4" w:space="0"/>
            </w:tcBorders>
            <w:noWrap w:val="0"/>
            <w:vAlign w:val="center"/>
          </w:tcPr>
          <w:p>
            <w:pPr>
              <w:widowControl/>
              <w:jc w:val="left"/>
              <w:rPr>
                <w:rFonts w:eastAsia="仿宋_GB2312"/>
                <w:kern w:val="0"/>
                <w:sz w:val="20"/>
                <w:szCs w:val="20"/>
              </w:rPr>
            </w:pPr>
            <w:r>
              <w:rPr>
                <w:rFonts w:eastAsia="仿宋_GB2312"/>
                <w:kern w:val="0"/>
                <w:sz w:val="20"/>
                <w:szCs w:val="20"/>
              </w:rPr>
              <w:t>“三公经费”变动率=[（本年度“三公经费”预算数-上年度“三公经费”预算数）/上年度“三公经费”预算数]×100%</w:t>
            </w:r>
          </w:p>
        </w:tc>
        <w:tc>
          <w:tcPr>
            <w:tcW w:w="637" w:type="dxa"/>
            <w:tcBorders>
              <w:top w:val="nil"/>
              <w:left w:val="nil"/>
              <w:bottom w:val="single" w:color="auto" w:sz="4" w:space="0"/>
              <w:right w:val="single" w:color="auto" w:sz="4" w:space="0"/>
            </w:tcBorders>
            <w:noWrap w:val="0"/>
            <w:vAlign w:val="center"/>
          </w:tcPr>
          <w:p>
            <w:pPr>
              <w:widowControl/>
              <w:jc w:val="center"/>
              <w:rPr>
                <w:kern w:val="0"/>
                <w:sz w:val="24"/>
              </w:rPr>
            </w:pPr>
            <w:r>
              <w:rPr>
                <w:rFonts w:hint="eastAsia"/>
                <w:kern w:val="0"/>
                <w:sz w:val="24"/>
              </w:rPr>
              <w:t>5</w:t>
            </w:r>
          </w:p>
        </w:tc>
      </w:tr>
      <w:tr>
        <w:tblPrEx>
          <w:tblCellMar>
            <w:top w:w="0" w:type="dxa"/>
            <w:left w:w="108" w:type="dxa"/>
            <w:bottom w:w="0" w:type="dxa"/>
            <w:right w:w="108" w:type="dxa"/>
          </w:tblCellMar>
        </w:tblPrEx>
        <w:trPr>
          <w:jc w:val="center"/>
        </w:trPr>
        <w:tc>
          <w:tcPr>
            <w:tcW w:w="518"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eastAsia="仿宋_GB2312"/>
                <w:kern w:val="0"/>
                <w:sz w:val="20"/>
                <w:szCs w:val="20"/>
              </w:rPr>
            </w:pPr>
            <w:r>
              <w:rPr>
                <w:rFonts w:eastAsia="仿宋_GB2312"/>
                <w:kern w:val="0"/>
                <w:sz w:val="20"/>
                <w:szCs w:val="20"/>
              </w:rPr>
              <w:t>过                                                                                                                                       程</w:t>
            </w:r>
          </w:p>
        </w:tc>
        <w:tc>
          <w:tcPr>
            <w:tcW w:w="416"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eastAsia="仿宋_GB2312"/>
                <w:kern w:val="0"/>
                <w:sz w:val="20"/>
                <w:szCs w:val="20"/>
              </w:rPr>
            </w:pPr>
            <w:r>
              <w:rPr>
                <w:rFonts w:eastAsia="仿宋_GB2312"/>
                <w:kern w:val="0"/>
                <w:sz w:val="18"/>
                <w:szCs w:val="18"/>
              </w:rPr>
              <w:t>60</w:t>
            </w:r>
          </w:p>
        </w:tc>
        <w:tc>
          <w:tcPr>
            <w:tcW w:w="677"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eastAsia="仿宋_GB2312"/>
                <w:kern w:val="0"/>
                <w:sz w:val="20"/>
                <w:szCs w:val="20"/>
              </w:rPr>
            </w:pPr>
            <w:r>
              <w:rPr>
                <w:rFonts w:eastAsia="仿宋_GB2312"/>
                <w:kern w:val="0"/>
                <w:sz w:val="20"/>
                <w:szCs w:val="20"/>
              </w:rPr>
              <w:t>预算执行</w:t>
            </w:r>
          </w:p>
        </w:tc>
        <w:tc>
          <w:tcPr>
            <w:tcW w:w="416"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eastAsia="仿宋_GB2312"/>
                <w:kern w:val="0"/>
                <w:sz w:val="20"/>
                <w:szCs w:val="20"/>
              </w:rPr>
            </w:pPr>
            <w:r>
              <w:rPr>
                <w:rFonts w:eastAsia="仿宋_GB2312"/>
                <w:kern w:val="0"/>
                <w:sz w:val="18"/>
                <w:szCs w:val="18"/>
              </w:rPr>
              <w:t>20</w:t>
            </w:r>
          </w:p>
        </w:tc>
        <w:tc>
          <w:tcPr>
            <w:tcW w:w="1014" w:type="dxa"/>
            <w:tcBorders>
              <w:top w:val="nil"/>
              <w:left w:val="nil"/>
              <w:bottom w:val="single" w:color="auto" w:sz="4" w:space="0"/>
              <w:right w:val="single" w:color="auto" w:sz="4" w:space="0"/>
            </w:tcBorders>
            <w:noWrap w:val="0"/>
            <w:vAlign w:val="center"/>
          </w:tcPr>
          <w:p>
            <w:pPr>
              <w:widowControl/>
              <w:jc w:val="left"/>
              <w:rPr>
                <w:rFonts w:eastAsia="仿宋_GB2312"/>
                <w:kern w:val="0"/>
                <w:sz w:val="20"/>
                <w:szCs w:val="20"/>
              </w:rPr>
            </w:pPr>
            <w:r>
              <w:rPr>
                <w:rFonts w:eastAsia="仿宋_GB2312"/>
                <w:kern w:val="0"/>
                <w:sz w:val="20"/>
                <w:szCs w:val="20"/>
              </w:rPr>
              <w:t>预算完成率</w:t>
            </w:r>
          </w:p>
        </w:tc>
        <w:tc>
          <w:tcPr>
            <w:tcW w:w="416" w:type="dxa"/>
            <w:tcBorders>
              <w:top w:val="nil"/>
              <w:left w:val="nil"/>
              <w:bottom w:val="single" w:color="auto" w:sz="4" w:space="0"/>
              <w:right w:val="single" w:color="auto" w:sz="4" w:space="0"/>
            </w:tcBorders>
            <w:noWrap w:val="0"/>
            <w:vAlign w:val="center"/>
          </w:tcPr>
          <w:p>
            <w:pPr>
              <w:widowControl/>
              <w:jc w:val="center"/>
              <w:rPr>
                <w:rFonts w:eastAsia="仿宋_GB2312"/>
                <w:kern w:val="0"/>
                <w:sz w:val="20"/>
                <w:szCs w:val="20"/>
              </w:rPr>
            </w:pPr>
            <w:r>
              <w:rPr>
                <w:rFonts w:eastAsia="仿宋_GB2312"/>
                <w:kern w:val="0"/>
                <w:sz w:val="20"/>
                <w:szCs w:val="20"/>
              </w:rPr>
              <w:t>5</w:t>
            </w:r>
          </w:p>
        </w:tc>
        <w:tc>
          <w:tcPr>
            <w:tcW w:w="3016" w:type="dxa"/>
            <w:tcBorders>
              <w:top w:val="nil"/>
              <w:left w:val="nil"/>
              <w:bottom w:val="single" w:color="auto" w:sz="4" w:space="0"/>
              <w:right w:val="single" w:color="auto" w:sz="4" w:space="0"/>
            </w:tcBorders>
            <w:noWrap w:val="0"/>
            <w:vAlign w:val="center"/>
          </w:tcPr>
          <w:p>
            <w:pPr>
              <w:widowControl/>
              <w:jc w:val="left"/>
              <w:rPr>
                <w:rFonts w:eastAsia="仿宋_GB2312"/>
                <w:kern w:val="0"/>
                <w:sz w:val="20"/>
                <w:szCs w:val="20"/>
              </w:rPr>
            </w:pPr>
            <w:r>
              <w:rPr>
                <w:rFonts w:eastAsia="仿宋_GB2312"/>
                <w:kern w:val="0"/>
                <w:sz w:val="20"/>
                <w:szCs w:val="20"/>
              </w:rPr>
              <w:t>100%计满分，每低于5%扣2分，扣完为止。</w:t>
            </w:r>
          </w:p>
        </w:tc>
        <w:tc>
          <w:tcPr>
            <w:tcW w:w="3490" w:type="dxa"/>
            <w:tcBorders>
              <w:top w:val="nil"/>
              <w:left w:val="nil"/>
              <w:bottom w:val="single" w:color="auto" w:sz="4" w:space="0"/>
              <w:right w:val="single" w:color="auto" w:sz="4" w:space="0"/>
            </w:tcBorders>
            <w:noWrap w:val="0"/>
            <w:vAlign w:val="center"/>
          </w:tcPr>
          <w:p>
            <w:pPr>
              <w:widowControl/>
              <w:jc w:val="left"/>
              <w:rPr>
                <w:rFonts w:eastAsia="仿宋_GB2312"/>
                <w:kern w:val="0"/>
                <w:sz w:val="20"/>
                <w:szCs w:val="20"/>
              </w:rPr>
            </w:pPr>
            <w:r>
              <w:rPr>
                <w:rFonts w:eastAsia="仿宋_GB2312"/>
                <w:kern w:val="0"/>
                <w:sz w:val="20"/>
                <w:szCs w:val="20"/>
              </w:rPr>
              <w:t>预算完成率=（上年结转+年初预算+本年追加预算-年末结余）/（上年结转+年初预算+本年追加预算）×100%。</w:t>
            </w:r>
          </w:p>
        </w:tc>
        <w:tc>
          <w:tcPr>
            <w:tcW w:w="637" w:type="dxa"/>
            <w:tcBorders>
              <w:top w:val="nil"/>
              <w:left w:val="nil"/>
              <w:bottom w:val="single" w:color="auto" w:sz="4" w:space="0"/>
              <w:right w:val="single" w:color="auto" w:sz="4" w:space="0"/>
            </w:tcBorders>
            <w:noWrap w:val="0"/>
            <w:vAlign w:val="center"/>
          </w:tcPr>
          <w:p>
            <w:pPr>
              <w:widowControl/>
              <w:jc w:val="center"/>
              <w:rPr>
                <w:kern w:val="0"/>
                <w:sz w:val="24"/>
              </w:rPr>
            </w:pPr>
            <w:r>
              <w:rPr>
                <w:rFonts w:hint="eastAsia"/>
                <w:kern w:val="0"/>
                <w:sz w:val="24"/>
              </w:rPr>
              <w:t>5</w:t>
            </w:r>
          </w:p>
        </w:tc>
      </w:tr>
      <w:tr>
        <w:tblPrEx>
          <w:tblCellMar>
            <w:top w:w="0" w:type="dxa"/>
            <w:left w:w="108" w:type="dxa"/>
            <w:bottom w:w="0" w:type="dxa"/>
            <w:right w:w="108" w:type="dxa"/>
          </w:tblCellMar>
        </w:tblPrEx>
        <w:trPr>
          <w:trHeight w:val="1273" w:hRule="atLeast"/>
          <w:jc w:val="center"/>
        </w:trPr>
        <w:tc>
          <w:tcPr>
            <w:tcW w:w="518"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仿宋_GB2312"/>
                <w:kern w:val="0"/>
                <w:sz w:val="20"/>
                <w:szCs w:val="20"/>
              </w:rPr>
            </w:pPr>
          </w:p>
        </w:tc>
        <w:tc>
          <w:tcPr>
            <w:tcW w:w="416"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仿宋_GB2312"/>
                <w:kern w:val="0"/>
                <w:sz w:val="20"/>
                <w:szCs w:val="20"/>
              </w:rPr>
            </w:pPr>
          </w:p>
        </w:tc>
        <w:tc>
          <w:tcPr>
            <w:tcW w:w="677"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仿宋_GB2312"/>
                <w:kern w:val="0"/>
                <w:sz w:val="20"/>
                <w:szCs w:val="20"/>
              </w:rPr>
            </w:pPr>
          </w:p>
        </w:tc>
        <w:tc>
          <w:tcPr>
            <w:tcW w:w="416"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仿宋_GB2312"/>
                <w:kern w:val="0"/>
                <w:sz w:val="20"/>
                <w:szCs w:val="20"/>
              </w:rPr>
            </w:pPr>
          </w:p>
        </w:tc>
        <w:tc>
          <w:tcPr>
            <w:tcW w:w="1014" w:type="dxa"/>
            <w:tcBorders>
              <w:top w:val="nil"/>
              <w:left w:val="nil"/>
              <w:bottom w:val="single" w:color="auto" w:sz="4" w:space="0"/>
              <w:right w:val="single" w:color="auto" w:sz="4" w:space="0"/>
            </w:tcBorders>
            <w:noWrap w:val="0"/>
            <w:vAlign w:val="center"/>
          </w:tcPr>
          <w:p>
            <w:pPr>
              <w:widowControl/>
              <w:jc w:val="left"/>
              <w:rPr>
                <w:rFonts w:eastAsia="仿宋_GB2312"/>
                <w:kern w:val="0"/>
                <w:sz w:val="20"/>
                <w:szCs w:val="20"/>
              </w:rPr>
            </w:pPr>
            <w:r>
              <w:rPr>
                <w:rFonts w:eastAsia="仿宋_GB2312"/>
                <w:kern w:val="0"/>
                <w:sz w:val="20"/>
                <w:szCs w:val="20"/>
              </w:rPr>
              <w:t>预算控制率</w:t>
            </w:r>
          </w:p>
        </w:tc>
        <w:tc>
          <w:tcPr>
            <w:tcW w:w="416" w:type="dxa"/>
            <w:tcBorders>
              <w:top w:val="nil"/>
              <w:left w:val="nil"/>
              <w:bottom w:val="single" w:color="auto" w:sz="4" w:space="0"/>
              <w:right w:val="single" w:color="auto" w:sz="4" w:space="0"/>
            </w:tcBorders>
            <w:noWrap w:val="0"/>
            <w:vAlign w:val="center"/>
          </w:tcPr>
          <w:p>
            <w:pPr>
              <w:widowControl/>
              <w:jc w:val="center"/>
              <w:rPr>
                <w:rFonts w:eastAsia="仿宋_GB2312"/>
                <w:kern w:val="0"/>
                <w:sz w:val="20"/>
                <w:szCs w:val="20"/>
              </w:rPr>
            </w:pPr>
            <w:r>
              <w:rPr>
                <w:rFonts w:eastAsia="仿宋_GB2312"/>
                <w:kern w:val="0"/>
                <w:sz w:val="20"/>
                <w:szCs w:val="20"/>
              </w:rPr>
              <w:t>5</w:t>
            </w:r>
          </w:p>
        </w:tc>
        <w:tc>
          <w:tcPr>
            <w:tcW w:w="3016" w:type="dxa"/>
            <w:tcBorders>
              <w:top w:val="nil"/>
              <w:left w:val="nil"/>
              <w:bottom w:val="single" w:color="auto" w:sz="4" w:space="0"/>
              <w:right w:val="single" w:color="auto" w:sz="4" w:space="0"/>
            </w:tcBorders>
            <w:noWrap w:val="0"/>
            <w:vAlign w:val="center"/>
          </w:tcPr>
          <w:p>
            <w:pPr>
              <w:widowControl/>
              <w:jc w:val="left"/>
              <w:rPr>
                <w:rFonts w:eastAsia="仿宋_GB2312"/>
                <w:kern w:val="0"/>
                <w:sz w:val="20"/>
                <w:szCs w:val="20"/>
              </w:rPr>
            </w:pPr>
            <w:r>
              <w:rPr>
                <w:rFonts w:eastAsia="仿宋_GB2312"/>
                <w:kern w:val="0"/>
                <w:sz w:val="20"/>
                <w:szCs w:val="20"/>
              </w:rPr>
              <w:t>预算控制率=0，计5分；0-10%（含），计4分；10-20%（含），计3分；20-30%（含），计2分；大于30%不得分。</w:t>
            </w:r>
          </w:p>
        </w:tc>
        <w:tc>
          <w:tcPr>
            <w:tcW w:w="3490" w:type="dxa"/>
            <w:tcBorders>
              <w:top w:val="nil"/>
              <w:left w:val="nil"/>
              <w:bottom w:val="single" w:color="auto" w:sz="4" w:space="0"/>
              <w:right w:val="single" w:color="auto" w:sz="4" w:space="0"/>
            </w:tcBorders>
            <w:noWrap w:val="0"/>
            <w:vAlign w:val="center"/>
          </w:tcPr>
          <w:p>
            <w:pPr>
              <w:widowControl/>
              <w:jc w:val="left"/>
              <w:rPr>
                <w:rFonts w:eastAsia="仿宋_GB2312"/>
                <w:kern w:val="0"/>
                <w:sz w:val="20"/>
                <w:szCs w:val="20"/>
              </w:rPr>
            </w:pPr>
            <w:r>
              <w:rPr>
                <w:rFonts w:eastAsia="仿宋_GB2312"/>
                <w:kern w:val="0"/>
                <w:sz w:val="20"/>
                <w:szCs w:val="20"/>
              </w:rPr>
              <w:t>预算控制率=（本年追加预算/年初预算）×100%。</w:t>
            </w:r>
          </w:p>
        </w:tc>
        <w:tc>
          <w:tcPr>
            <w:tcW w:w="637" w:type="dxa"/>
            <w:tcBorders>
              <w:top w:val="nil"/>
              <w:left w:val="nil"/>
              <w:bottom w:val="single" w:color="auto" w:sz="4" w:space="0"/>
              <w:right w:val="single" w:color="auto" w:sz="4" w:space="0"/>
            </w:tcBorders>
            <w:noWrap w:val="0"/>
            <w:vAlign w:val="center"/>
          </w:tcPr>
          <w:p>
            <w:pPr>
              <w:widowControl/>
              <w:jc w:val="center"/>
              <w:rPr>
                <w:kern w:val="0"/>
                <w:sz w:val="24"/>
              </w:rPr>
            </w:pPr>
            <w:r>
              <w:rPr>
                <w:rFonts w:hint="eastAsia"/>
                <w:kern w:val="0"/>
                <w:sz w:val="24"/>
              </w:rPr>
              <w:t>2</w:t>
            </w:r>
          </w:p>
        </w:tc>
      </w:tr>
      <w:tr>
        <w:tblPrEx>
          <w:tblCellMar>
            <w:top w:w="0" w:type="dxa"/>
            <w:left w:w="108" w:type="dxa"/>
            <w:bottom w:w="0" w:type="dxa"/>
            <w:right w:w="108" w:type="dxa"/>
          </w:tblCellMar>
        </w:tblPrEx>
        <w:trPr>
          <w:trHeight w:val="1325" w:hRule="atLeast"/>
          <w:jc w:val="center"/>
        </w:trPr>
        <w:tc>
          <w:tcPr>
            <w:tcW w:w="518"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仿宋_GB2312"/>
                <w:kern w:val="0"/>
                <w:sz w:val="20"/>
                <w:szCs w:val="20"/>
              </w:rPr>
            </w:pPr>
          </w:p>
        </w:tc>
        <w:tc>
          <w:tcPr>
            <w:tcW w:w="416"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仿宋_GB2312"/>
                <w:kern w:val="0"/>
                <w:sz w:val="20"/>
                <w:szCs w:val="20"/>
              </w:rPr>
            </w:pPr>
          </w:p>
        </w:tc>
        <w:tc>
          <w:tcPr>
            <w:tcW w:w="677"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仿宋_GB2312"/>
                <w:kern w:val="0"/>
                <w:sz w:val="20"/>
                <w:szCs w:val="20"/>
              </w:rPr>
            </w:pPr>
          </w:p>
        </w:tc>
        <w:tc>
          <w:tcPr>
            <w:tcW w:w="416"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仿宋_GB2312"/>
                <w:kern w:val="0"/>
                <w:sz w:val="20"/>
                <w:szCs w:val="20"/>
              </w:rPr>
            </w:pPr>
          </w:p>
        </w:tc>
        <w:tc>
          <w:tcPr>
            <w:tcW w:w="1014" w:type="dxa"/>
            <w:tcBorders>
              <w:top w:val="nil"/>
              <w:left w:val="nil"/>
              <w:bottom w:val="single" w:color="auto" w:sz="4" w:space="0"/>
              <w:right w:val="single" w:color="auto" w:sz="4" w:space="0"/>
            </w:tcBorders>
            <w:noWrap w:val="0"/>
            <w:vAlign w:val="center"/>
          </w:tcPr>
          <w:p>
            <w:pPr>
              <w:widowControl/>
              <w:jc w:val="left"/>
              <w:rPr>
                <w:rFonts w:eastAsia="仿宋_GB2312"/>
                <w:kern w:val="0"/>
                <w:sz w:val="20"/>
                <w:szCs w:val="20"/>
              </w:rPr>
            </w:pPr>
            <w:r>
              <w:rPr>
                <w:rFonts w:eastAsia="仿宋_GB2312"/>
                <w:kern w:val="0"/>
                <w:sz w:val="20"/>
                <w:szCs w:val="20"/>
              </w:rPr>
              <w:t>新建楼堂馆所面积控制率</w:t>
            </w:r>
          </w:p>
        </w:tc>
        <w:tc>
          <w:tcPr>
            <w:tcW w:w="416" w:type="dxa"/>
            <w:tcBorders>
              <w:top w:val="nil"/>
              <w:left w:val="nil"/>
              <w:bottom w:val="single" w:color="auto" w:sz="4" w:space="0"/>
              <w:right w:val="single" w:color="auto" w:sz="4" w:space="0"/>
            </w:tcBorders>
            <w:noWrap w:val="0"/>
            <w:vAlign w:val="center"/>
          </w:tcPr>
          <w:p>
            <w:pPr>
              <w:widowControl/>
              <w:jc w:val="center"/>
              <w:rPr>
                <w:rFonts w:eastAsia="仿宋_GB2312"/>
                <w:kern w:val="0"/>
                <w:sz w:val="20"/>
                <w:szCs w:val="20"/>
              </w:rPr>
            </w:pPr>
            <w:r>
              <w:rPr>
                <w:rFonts w:eastAsia="仿宋_GB2312"/>
                <w:kern w:val="0"/>
                <w:sz w:val="20"/>
                <w:szCs w:val="20"/>
              </w:rPr>
              <w:t>5</w:t>
            </w:r>
          </w:p>
        </w:tc>
        <w:tc>
          <w:tcPr>
            <w:tcW w:w="3016" w:type="dxa"/>
            <w:tcBorders>
              <w:top w:val="nil"/>
              <w:left w:val="nil"/>
              <w:bottom w:val="single" w:color="auto" w:sz="4" w:space="0"/>
              <w:right w:val="single" w:color="auto" w:sz="4" w:space="0"/>
            </w:tcBorders>
            <w:noWrap w:val="0"/>
            <w:vAlign w:val="center"/>
          </w:tcPr>
          <w:p>
            <w:pPr>
              <w:widowControl/>
              <w:jc w:val="left"/>
              <w:rPr>
                <w:rFonts w:eastAsia="仿宋_GB2312"/>
                <w:kern w:val="0"/>
                <w:sz w:val="20"/>
                <w:szCs w:val="20"/>
              </w:rPr>
            </w:pPr>
            <w:r>
              <w:rPr>
                <w:rFonts w:eastAsia="仿宋_GB2312"/>
                <w:kern w:val="0"/>
                <w:sz w:val="20"/>
                <w:szCs w:val="20"/>
              </w:rPr>
              <w:t>100%以下（含）计满分，每超出5%扣2分，扣完为止。没有楼堂馆所项目的部门按满分计算。</w:t>
            </w:r>
          </w:p>
        </w:tc>
        <w:tc>
          <w:tcPr>
            <w:tcW w:w="3490" w:type="dxa"/>
            <w:tcBorders>
              <w:top w:val="nil"/>
              <w:left w:val="nil"/>
              <w:bottom w:val="single" w:color="auto" w:sz="4" w:space="0"/>
              <w:right w:val="single" w:color="auto" w:sz="4" w:space="0"/>
            </w:tcBorders>
            <w:noWrap w:val="0"/>
            <w:vAlign w:val="center"/>
          </w:tcPr>
          <w:p>
            <w:pPr>
              <w:widowControl/>
              <w:jc w:val="left"/>
              <w:rPr>
                <w:rFonts w:eastAsia="仿宋_GB2312"/>
                <w:kern w:val="0"/>
                <w:sz w:val="20"/>
                <w:szCs w:val="20"/>
              </w:rPr>
            </w:pPr>
            <w:r>
              <w:rPr>
                <w:rFonts w:eastAsia="仿宋_GB2312"/>
                <w:kern w:val="0"/>
                <w:sz w:val="20"/>
                <w:szCs w:val="20"/>
              </w:rPr>
              <w:t>楼堂馆所面积控制率=实际建设面积/批准建设面积×100% 。</w:t>
            </w:r>
            <w:r>
              <w:rPr>
                <w:rFonts w:eastAsia="仿宋_GB2312"/>
                <w:kern w:val="0"/>
                <w:sz w:val="20"/>
                <w:szCs w:val="20"/>
              </w:rPr>
              <w:br w:type="textWrapping"/>
            </w:r>
            <w:r>
              <w:rPr>
                <w:rFonts w:eastAsia="仿宋_GB2312"/>
                <w:kern w:val="0"/>
                <w:sz w:val="20"/>
                <w:szCs w:val="20"/>
              </w:rPr>
              <w:t>该指标以201</w:t>
            </w:r>
            <w:r>
              <w:rPr>
                <w:rFonts w:hint="eastAsia" w:eastAsia="仿宋_GB2312"/>
                <w:kern w:val="0"/>
                <w:sz w:val="20"/>
                <w:szCs w:val="20"/>
              </w:rPr>
              <w:t>7</w:t>
            </w:r>
            <w:r>
              <w:rPr>
                <w:rFonts w:eastAsia="仿宋_GB2312"/>
                <w:kern w:val="0"/>
                <w:sz w:val="20"/>
                <w:szCs w:val="20"/>
              </w:rPr>
              <w:t>年完工的新建楼堂馆所为评价内容。</w:t>
            </w:r>
          </w:p>
        </w:tc>
        <w:tc>
          <w:tcPr>
            <w:tcW w:w="637" w:type="dxa"/>
            <w:tcBorders>
              <w:top w:val="nil"/>
              <w:left w:val="nil"/>
              <w:bottom w:val="single" w:color="auto" w:sz="4" w:space="0"/>
              <w:right w:val="single" w:color="auto" w:sz="4" w:space="0"/>
            </w:tcBorders>
            <w:noWrap w:val="0"/>
            <w:vAlign w:val="center"/>
          </w:tcPr>
          <w:p>
            <w:pPr>
              <w:widowControl/>
              <w:jc w:val="center"/>
              <w:rPr>
                <w:kern w:val="0"/>
                <w:sz w:val="24"/>
              </w:rPr>
            </w:pPr>
            <w:r>
              <w:rPr>
                <w:rFonts w:hint="eastAsia"/>
                <w:kern w:val="0"/>
                <w:sz w:val="24"/>
              </w:rPr>
              <w:t>5</w:t>
            </w:r>
          </w:p>
        </w:tc>
      </w:tr>
      <w:tr>
        <w:tblPrEx>
          <w:tblCellMar>
            <w:top w:w="0" w:type="dxa"/>
            <w:left w:w="108" w:type="dxa"/>
            <w:bottom w:w="0" w:type="dxa"/>
            <w:right w:w="108" w:type="dxa"/>
          </w:tblCellMar>
        </w:tblPrEx>
        <w:trPr>
          <w:trHeight w:val="1543" w:hRule="atLeast"/>
          <w:jc w:val="center"/>
        </w:trPr>
        <w:tc>
          <w:tcPr>
            <w:tcW w:w="518"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仿宋_GB2312"/>
                <w:kern w:val="0"/>
                <w:sz w:val="20"/>
                <w:szCs w:val="20"/>
              </w:rPr>
            </w:pPr>
          </w:p>
        </w:tc>
        <w:tc>
          <w:tcPr>
            <w:tcW w:w="416"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仿宋_GB2312"/>
                <w:kern w:val="0"/>
                <w:sz w:val="20"/>
                <w:szCs w:val="20"/>
              </w:rPr>
            </w:pPr>
          </w:p>
        </w:tc>
        <w:tc>
          <w:tcPr>
            <w:tcW w:w="677"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仿宋_GB2312"/>
                <w:kern w:val="0"/>
                <w:sz w:val="20"/>
                <w:szCs w:val="20"/>
              </w:rPr>
            </w:pPr>
          </w:p>
        </w:tc>
        <w:tc>
          <w:tcPr>
            <w:tcW w:w="416"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仿宋_GB2312"/>
                <w:kern w:val="0"/>
                <w:sz w:val="20"/>
                <w:szCs w:val="20"/>
              </w:rPr>
            </w:pPr>
          </w:p>
        </w:tc>
        <w:tc>
          <w:tcPr>
            <w:tcW w:w="1014" w:type="dxa"/>
            <w:tcBorders>
              <w:top w:val="nil"/>
              <w:left w:val="nil"/>
              <w:bottom w:val="single" w:color="auto" w:sz="4" w:space="0"/>
              <w:right w:val="single" w:color="auto" w:sz="4" w:space="0"/>
            </w:tcBorders>
            <w:noWrap w:val="0"/>
            <w:vAlign w:val="center"/>
          </w:tcPr>
          <w:p>
            <w:pPr>
              <w:widowControl/>
              <w:jc w:val="left"/>
              <w:rPr>
                <w:rFonts w:eastAsia="仿宋_GB2312"/>
                <w:kern w:val="0"/>
                <w:sz w:val="20"/>
                <w:szCs w:val="20"/>
              </w:rPr>
            </w:pPr>
            <w:r>
              <w:rPr>
                <w:rFonts w:eastAsia="仿宋_GB2312"/>
                <w:kern w:val="0"/>
                <w:sz w:val="20"/>
                <w:szCs w:val="20"/>
              </w:rPr>
              <w:t>新建楼堂馆所投资概算控制率</w:t>
            </w:r>
          </w:p>
        </w:tc>
        <w:tc>
          <w:tcPr>
            <w:tcW w:w="416" w:type="dxa"/>
            <w:tcBorders>
              <w:top w:val="nil"/>
              <w:left w:val="nil"/>
              <w:bottom w:val="single" w:color="auto" w:sz="4" w:space="0"/>
              <w:right w:val="single" w:color="auto" w:sz="4" w:space="0"/>
            </w:tcBorders>
            <w:noWrap w:val="0"/>
            <w:vAlign w:val="center"/>
          </w:tcPr>
          <w:p>
            <w:pPr>
              <w:widowControl/>
              <w:jc w:val="center"/>
              <w:rPr>
                <w:rFonts w:eastAsia="仿宋_GB2312"/>
                <w:kern w:val="0"/>
                <w:sz w:val="20"/>
                <w:szCs w:val="20"/>
              </w:rPr>
            </w:pPr>
            <w:r>
              <w:rPr>
                <w:rFonts w:eastAsia="仿宋_GB2312"/>
                <w:kern w:val="0"/>
                <w:sz w:val="20"/>
                <w:szCs w:val="20"/>
              </w:rPr>
              <w:t>5</w:t>
            </w:r>
          </w:p>
        </w:tc>
        <w:tc>
          <w:tcPr>
            <w:tcW w:w="3016" w:type="dxa"/>
            <w:tcBorders>
              <w:top w:val="nil"/>
              <w:left w:val="nil"/>
              <w:bottom w:val="single" w:color="auto" w:sz="4" w:space="0"/>
              <w:right w:val="single" w:color="auto" w:sz="4" w:space="0"/>
            </w:tcBorders>
            <w:noWrap w:val="0"/>
            <w:vAlign w:val="center"/>
          </w:tcPr>
          <w:p>
            <w:pPr>
              <w:widowControl/>
              <w:jc w:val="left"/>
              <w:rPr>
                <w:rFonts w:eastAsia="仿宋_GB2312"/>
                <w:kern w:val="0"/>
                <w:sz w:val="20"/>
                <w:szCs w:val="20"/>
              </w:rPr>
            </w:pPr>
            <w:r>
              <w:rPr>
                <w:rFonts w:eastAsia="仿宋_GB2312"/>
                <w:kern w:val="0"/>
                <w:sz w:val="20"/>
                <w:szCs w:val="20"/>
              </w:rPr>
              <w:t>100%以下（含）计满分，每超出5%扣2分，扣完为止。</w:t>
            </w:r>
          </w:p>
        </w:tc>
        <w:tc>
          <w:tcPr>
            <w:tcW w:w="3490" w:type="dxa"/>
            <w:tcBorders>
              <w:top w:val="nil"/>
              <w:left w:val="nil"/>
              <w:bottom w:val="single" w:color="auto" w:sz="4" w:space="0"/>
              <w:right w:val="single" w:color="auto" w:sz="4" w:space="0"/>
            </w:tcBorders>
            <w:noWrap w:val="0"/>
            <w:vAlign w:val="center"/>
          </w:tcPr>
          <w:p>
            <w:pPr>
              <w:widowControl/>
              <w:jc w:val="left"/>
              <w:rPr>
                <w:rFonts w:eastAsia="仿宋_GB2312"/>
                <w:kern w:val="0"/>
                <w:sz w:val="20"/>
                <w:szCs w:val="20"/>
              </w:rPr>
            </w:pPr>
            <w:r>
              <w:rPr>
                <w:rFonts w:eastAsia="仿宋_GB2312"/>
                <w:kern w:val="0"/>
                <w:sz w:val="20"/>
                <w:szCs w:val="20"/>
              </w:rPr>
              <w:t>楼堂馆所投资预算控制率=实际投资金额/批准投资金额×100% 。</w:t>
            </w:r>
            <w:r>
              <w:rPr>
                <w:rFonts w:eastAsia="仿宋_GB2312"/>
                <w:kern w:val="0"/>
                <w:sz w:val="20"/>
                <w:szCs w:val="20"/>
              </w:rPr>
              <w:br w:type="textWrapping"/>
            </w:r>
            <w:r>
              <w:rPr>
                <w:rFonts w:eastAsia="仿宋_GB2312"/>
                <w:kern w:val="0"/>
                <w:sz w:val="20"/>
                <w:szCs w:val="20"/>
              </w:rPr>
              <w:t>该指标以201</w:t>
            </w:r>
            <w:r>
              <w:rPr>
                <w:rFonts w:hint="eastAsia" w:eastAsia="仿宋_GB2312"/>
                <w:kern w:val="0"/>
                <w:sz w:val="20"/>
                <w:szCs w:val="20"/>
              </w:rPr>
              <w:t>7</w:t>
            </w:r>
            <w:r>
              <w:rPr>
                <w:rFonts w:eastAsia="仿宋_GB2312"/>
                <w:kern w:val="0"/>
                <w:sz w:val="20"/>
                <w:szCs w:val="20"/>
              </w:rPr>
              <w:t>年完工的新建楼堂馆所为评价内容。</w:t>
            </w:r>
          </w:p>
        </w:tc>
        <w:tc>
          <w:tcPr>
            <w:tcW w:w="637" w:type="dxa"/>
            <w:tcBorders>
              <w:top w:val="nil"/>
              <w:left w:val="nil"/>
              <w:bottom w:val="single" w:color="auto" w:sz="4" w:space="0"/>
              <w:right w:val="single" w:color="auto" w:sz="4" w:space="0"/>
            </w:tcBorders>
            <w:noWrap w:val="0"/>
            <w:vAlign w:val="center"/>
          </w:tcPr>
          <w:p>
            <w:pPr>
              <w:widowControl/>
              <w:jc w:val="center"/>
              <w:rPr>
                <w:kern w:val="0"/>
                <w:sz w:val="24"/>
              </w:rPr>
            </w:pPr>
            <w:r>
              <w:rPr>
                <w:rFonts w:hint="eastAsia"/>
                <w:kern w:val="0"/>
                <w:sz w:val="24"/>
              </w:rPr>
              <w:t>5</w:t>
            </w:r>
          </w:p>
        </w:tc>
      </w:tr>
      <w:tr>
        <w:tblPrEx>
          <w:tblCellMar>
            <w:top w:w="0" w:type="dxa"/>
            <w:left w:w="108" w:type="dxa"/>
            <w:bottom w:w="0" w:type="dxa"/>
            <w:right w:w="108" w:type="dxa"/>
          </w:tblCellMar>
        </w:tblPrEx>
        <w:trPr>
          <w:trHeight w:val="1562" w:hRule="atLeast"/>
          <w:jc w:val="center"/>
        </w:trPr>
        <w:tc>
          <w:tcPr>
            <w:tcW w:w="518"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仿宋_GB2312"/>
                <w:kern w:val="0"/>
                <w:sz w:val="20"/>
                <w:szCs w:val="20"/>
              </w:rPr>
            </w:pPr>
          </w:p>
        </w:tc>
        <w:tc>
          <w:tcPr>
            <w:tcW w:w="416"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仿宋_GB2312"/>
                <w:kern w:val="0"/>
                <w:sz w:val="20"/>
                <w:szCs w:val="20"/>
              </w:rPr>
            </w:pPr>
          </w:p>
        </w:tc>
        <w:tc>
          <w:tcPr>
            <w:tcW w:w="677"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eastAsia="仿宋_GB2312"/>
                <w:kern w:val="0"/>
                <w:sz w:val="20"/>
                <w:szCs w:val="20"/>
              </w:rPr>
            </w:pPr>
            <w:r>
              <w:rPr>
                <w:rFonts w:eastAsia="仿宋_GB2312"/>
                <w:kern w:val="0"/>
                <w:sz w:val="20"/>
                <w:szCs w:val="20"/>
              </w:rPr>
              <w:t>预算管理</w:t>
            </w:r>
          </w:p>
        </w:tc>
        <w:tc>
          <w:tcPr>
            <w:tcW w:w="416"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eastAsia="仿宋_GB2312"/>
                <w:kern w:val="0"/>
                <w:sz w:val="20"/>
                <w:szCs w:val="20"/>
              </w:rPr>
            </w:pPr>
            <w:r>
              <w:rPr>
                <w:rFonts w:eastAsia="仿宋_GB2312"/>
                <w:kern w:val="0"/>
                <w:sz w:val="18"/>
                <w:szCs w:val="18"/>
              </w:rPr>
              <w:t>40</w:t>
            </w:r>
          </w:p>
        </w:tc>
        <w:tc>
          <w:tcPr>
            <w:tcW w:w="1014" w:type="dxa"/>
            <w:tcBorders>
              <w:top w:val="nil"/>
              <w:left w:val="nil"/>
              <w:bottom w:val="single" w:color="auto" w:sz="4" w:space="0"/>
              <w:right w:val="single" w:color="auto" w:sz="4" w:space="0"/>
            </w:tcBorders>
            <w:noWrap w:val="0"/>
            <w:vAlign w:val="center"/>
          </w:tcPr>
          <w:p>
            <w:pPr>
              <w:widowControl/>
              <w:jc w:val="left"/>
              <w:rPr>
                <w:rFonts w:eastAsia="仿宋_GB2312"/>
                <w:kern w:val="0"/>
                <w:sz w:val="20"/>
                <w:szCs w:val="20"/>
              </w:rPr>
            </w:pPr>
            <w:r>
              <w:rPr>
                <w:rFonts w:eastAsia="仿宋_GB2312"/>
                <w:kern w:val="0"/>
                <w:sz w:val="20"/>
                <w:szCs w:val="20"/>
              </w:rPr>
              <w:t>公用经费控制率</w:t>
            </w:r>
          </w:p>
        </w:tc>
        <w:tc>
          <w:tcPr>
            <w:tcW w:w="416" w:type="dxa"/>
            <w:tcBorders>
              <w:top w:val="nil"/>
              <w:left w:val="nil"/>
              <w:bottom w:val="single" w:color="auto" w:sz="4" w:space="0"/>
              <w:right w:val="single" w:color="auto" w:sz="4" w:space="0"/>
            </w:tcBorders>
            <w:noWrap w:val="0"/>
            <w:vAlign w:val="center"/>
          </w:tcPr>
          <w:p>
            <w:pPr>
              <w:widowControl/>
              <w:jc w:val="center"/>
              <w:rPr>
                <w:rFonts w:eastAsia="仿宋_GB2312"/>
                <w:kern w:val="0"/>
                <w:sz w:val="20"/>
                <w:szCs w:val="20"/>
              </w:rPr>
            </w:pPr>
            <w:r>
              <w:rPr>
                <w:rFonts w:eastAsia="仿宋_GB2312"/>
                <w:kern w:val="0"/>
                <w:sz w:val="20"/>
                <w:szCs w:val="20"/>
              </w:rPr>
              <w:t>8</w:t>
            </w:r>
          </w:p>
        </w:tc>
        <w:tc>
          <w:tcPr>
            <w:tcW w:w="3016" w:type="dxa"/>
            <w:tcBorders>
              <w:top w:val="nil"/>
              <w:left w:val="nil"/>
              <w:bottom w:val="single" w:color="auto" w:sz="4" w:space="0"/>
              <w:right w:val="single" w:color="auto" w:sz="4" w:space="0"/>
            </w:tcBorders>
            <w:noWrap w:val="0"/>
            <w:vAlign w:val="center"/>
          </w:tcPr>
          <w:p>
            <w:pPr>
              <w:widowControl/>
              <w:jc w:val="left"/>
              <w:rPr>
                <w:rFonts w:eastAsia="仿宋_GB2312"/>
                <w:kern w:val="0"/>
                <w:sz w:val="20"/>
                <w:szCs w:val="20"/>
              </w:rPr>
            </w:pPr>
            <w:r>
              <w:rPr>
                <w:rFonts w:eastAsia="仿宋_GB2312"/>
                <w:kern w:val="0"/>
                <w:sz w:val="20"/>
                <w:szCs w:val="20"/>
              </w:rPr>
              <w:t>100%以下（含）计满分，每超出1%扣1分，扣完为止。</w:t>
            </w:r>
          </w:p>
        </w:tc>
        <w:tc>
          <w:tcPr>
            <w:tcW w:w="3490" w:type="dxa"/>
            <w:tcBorders>
              <w:top w:val="nil"/>
              <w:left w:val="nil"/>
              <w:bottom w:val="single" w:color="auto" w:sz="4" w:space="0"/>
              <w:right w:val="single" w:color="auto" w:sz="4" w:space="0"/>
            </w:tcBorders>
            <w:noWrap w:val="0"/>
            <w:vAlign w:val="center"/>
          </w:tcPr>
          <w:p>
            <w:pPr>
              <w:widowControl/>
              <w:jc w:val="left"/>
              <w:rPr>
                <w:rFonts w:eastAsia="仿宋_GB2312"/>
                <w:kern w:val="0"/>
                <w:sz w:val="20"/>
                <w:szCs w:val="20"/>
              </w:rPr>
            </w:pPr>
            <w:r>
              <w:rPr>
                <w:rFonts w:eastAsia="仿宋_GB2312"/>
                <w:kern w:val="0"/>
                <w:sz w:val="20"/>
                <w:szCs w:val="20"/>
              </w:rPr>
              <w:t>公用经费控制率=（实际支出公用经费总额/预算安排公用经费总额）×100%。</w:t>
            </w:r>
            <w:r>
              <w:rPr>
                <w:rFonts w:eastAsia="仿宋_GB2312"/>
                <w:kern w:val="0"/>
                <w:sz w:val="20"/>
                <w:szCs w:val="20"/>
              </w:rPr>
              <w:br w:type="textWrapping"/>
            </w:r>
            <w:r>
              <w:rPr>
                <w:rFonts w:eastAsia="仿宋_GB2312"/>
                <w:kern w:val="0"/>
                <w:sz w:val="20"/>
                <w:szCs w:val="20"/>
              </w:rPr>
              <w:t>公用经费支出是指部门基本支出中的一般商品和服务支出。</w:t>
            </w:r>
          </w:p>
        </w:tc>
        <w:tc>
          <w:tcPr>
            <w:tcW w:w="637" w:type="dxa"/>
            <w:tcBorders>
              <w:top w:val="nil"/>
              <w:left w:val="nil"/>
              <w:bottom w:val="single" w:color="auto" w:sz="4" w:space="0"/>
              <w:right w:val="single" w:color="auto" w:sz="4" w:space="0"/>
            </w:tcBorders>
            <w:noWrap w:val="0"/>
            <w:vAlign w:val="center"/>
          </w:tcPr>
          <w:p>
            <w:pPr>
              <w:widowControl/>
              <w:jc w:val="center"/>
              <w:rPr>
                <w:kern w:val="0"/>
                <w:sz w:val="24"/>
              </w:rPr>
            </w:pPr>
            <w:r>
              <w:rPr>
                <w:rFonts w:hint="eastAsia"/>
                <w:kern w:val="0"/>
                <w:sz w:val="24"/>
              </w:rPr>
              <w:t>8</w:t>
            </w:r>
          </w:p>
        </w:tc>
      </w:tr>
      <w:tr>
        <w:tblPrEx>
          <w:tblCellMar>
            <w:top w:w="0" w:type="dxa"/>
            <w:left w:w="108" w:type="dxa"/>
            <w:bottom w:w="0" w:type="dxa"/>
            <w:right w:w="108" w:type="dxa"/>
          </w:tblCellMar>
        </w:tblPrEx>
        <w:trPr>
          <w:trHeight w:val="1073" w:hRule="atLeast"/>
          <w:jc w:val="center"/>
        </w:trPr>
        <w:tc>
          <w:tcPr>
            <w:tcW w:w="518"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仿宋_GB2312"/>
                <w:kern w:val="0"/>
                <w:sz w:val="20"/>
                <w:szCs w:val="20"/>
              </w:rPr>
            </w:pPr>
          </w:p>
        </w:tc>
        <w:tc>
          <w:tcPr>
            <w:tcW w:w="416"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仿宋_GB2312"/>
                <w:kern w:val="0"/>
                <w:sz w:val="20"/>
                <w:szCs w:val="20"/>
              </w:rPr>
            </w:pPr>
          </w:p>
        </w:tc>
        <w:tc>
          <w:tcPr>
            <w:tcW w:w="677"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仿宋_GB2312"/>
                <w:kern w:val="0"/>
                <w:sz w:val="20"/>
                <w:szCs w:val="20"/>
              </w:rPr>
            </w:pPr>
          </w:p>
        </w:tc>
        <w:tc>
          <w:tcPr>
            <w:tcW w:w="416"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仿宋_GB2312"/>
                <w:kern w:val="0"/>
                <w:sz w:val="20"/>
                <w:szCs w:val="20"/>
              </w:rPr>
            </w:pPr>
          </w:p>
        </w:tc>
        <w:tc>
          <w:tcPr>
            <w:tcW w:w="1014" w:type="dxa"/>
            <w:tcBorders>
              <w:top w:val="nil"/>
              <w:left w:val="nil"/>
              <w:bottom w:val="single" w:color="auto" w:sz="4" w:space="0"/>
              <w:right w:val="single" w:color="auto" w:sz="4" w:space="0"/>
            </w:tcBorders>
            <w:noWrap w:val="0"/>
            <w:vAlign w:val="center"/>
          </w:tcPr>
          <w:p>
            <w:pPr>
              <w:widowControl/>
              <w:jc w:val="left"/>
              <w:rPr>
                <w:rFonts w:eastAsia="仿宋_GB2312"/>
                <w:kern w:val="0"/>
                <w:sz w:val="20"/>
                <w:szCs w:val="20"/>
              </w:rPr>
            </w:pPr>
            <w:r>
              <w:rPr>
                <w:rFonts w:eastAsia="仿宋_GB2312"/>
                <w:kern w:val="0"/>
                <w:sz w:val="20"/>
                <w:szCs w:val="20"/>
              </w:rPr>
              <w:t>“三公经费”控制率</w:t>
            </w:r>
          </w:p>
        </w:tc>
        <w:tc>
          <w:tcPr>
            <w:tcW w:w="416" w:type="dxa"/>
            <w:tcBorders>
              <w:top w:val="nil"/>
              <w:left w:val="nil"/>
              <w:bottom w:val="single" w:color="auto" w:sz="4" w:space="0"/>
              <w:right w:val="single" w:color="auto" w:sz="4" w:space="0"/>
            </w:tcBorders>
            <w:noWrap w:val="0"/>
            <w:vAlign w:val="center"/>
          </w:tcPr>
          <w:p>
            <w:pPr>
              <w:widowControl/>
              <w:jc w:val="center"/>
              <w:rPr>
                <w:rFonts w:eastAsia="仿宋_GB2312"/>
                <w:kern w:val="0"/>
                <w:sz w:val="20"/>
                <w:szCs w:val="20"/>
              </w:rPr>
            </w:pPr>
            <w:r>
              <w:rPr>
                <w:rFonts w:eastAsia="仿宋_GB2312"/>
                <w:kern w:val="0"/>
                <w:sz w:val="20"/>
                <w:szCs w:val="20"/>
              </w:rPr>
              <w:t>7</w:t>
            </w:r>
          </w:p>
        </w:tc>
        <w:tc>
          <w:tcPr>
            <w:tcW w:w="3016" w:type="dxa"/>
            <w:tcBorders>
              <w:top w:val="nil"/>
              <w:left w:val="nil"/>
              <w:bottom w:val="single" w:color="auto" w:sz="4" w:space="0"/>
              <w:right w:val="single" w:color="auto" w:sz="4" w:space="0"/>
            </w:tcBorders>
            <w:noWrap w:val="0"/>
            <w:vAlign w:val="center"/>
          </w:tcPr>
          <w:p>
            <w:pPr>
              <w:widowControl/>
              <w:jc w:val="left"/>
              <w:rPr>
                <w:rFonts w:eastAsia="仿宋_GB2312"/>
                <w:kern w:val="0"/>
                <w:sz w:val="20"/>
                <w:szCs w:val="20"/>
              </w:rPr>
            </w:pPr>
            <w:r>
              <w:rPr>
                <w:rFonts w:eastAsia="仿宋_GB2312"/>
                <w:kern w:val="0"/>
                <w:sz w:val="20"/>
                <w:szCs w:val="20"/>
              </w:rPr>
              <w:t>100%以下（含）计满分，每超出1%扣1分，扣完为止。</w:t>
            </w:r>
          </w:p>
        </w:tc>
        <w:tc>
          <w:tcPr>
            <w:tcW w:w="3490" w:type="dxa"/>
            <w:tcBorders>
              <w:top w:val="nil"/>
              <w:left w:val="nil"/>
              <w:bottom w:val="single" w:color="auto" w:sz="4" w:space="0"/>
              <w:right w:val="single" w:color="auto" w:sz="4" w:space="0"/>
            </w:tcBorders>
            <w:noWrap w:val="0"/>
            <w:vAlign w:val="center"/>
          </w:tcPr>
          <w:p>
            <w:pPr>
              <w:widowControl/>
              <w:jc w:val="left"/>
              <w:rPr>
                <w:rFonts w:eastAsia="仿宋_GB2312"/>
                <w:kern w:val="0"/>
                <w:sz w:val="20"/>
                <w:szCs w:val="20"/>
              </w:rPr>
            </w:pPr>
            <w:r>
              <w:rPr>
                <w:rFonts w:eastAsia="仿宋_GB2312"/>
                <w:kern w:val="0"/>
                <w:sz w:val="20"/>
                <w:szCs w:val="20"/>
              </w:rPr>
              <w:t>“三公经费”控制率-（“三公经费”实际支出数/“三公经费”预算安排数）×100%。</w:t>
            </w:r>
          </w:p>
        </w:tc>
        <w:tc>
          <w:tcPr>
            <w:tcW w:w="637" w:type="dxa"/>
            <w:tcBorders>
              <w:top w:val="nil"/>
              <w:left w:val="nil"/>
              <w:bottom w:val="single" w:color="auto" w:sz="4" w:space="0"/>
              <w:right w:val="single" w:color="auto" w:sz="4" w:space="0"/>
            </w:tcBorders>
            <w:noWrap w:val="0"/>
            <w:vAlign w:val="center"/>
          </w:tcPr>
          <w:p>
            <w:pPr>
              <w:widowControl/>
              <w:jc w:val="center"/>
              <w:rPr>
                <w:kern w:val="0"/>
                <w:sz w:val="24"/>
              </w:rPr>
            </w:pPr>
            <w:r>
              <w:rPr>
                <w:rFonts w:hint="eastAsia"/>
                <w:kern w:val="0"/>
                <w:sz w:val="24"/>
              </w:rPr>
              <w:t>7</w:t>
            </w:r>
          </w:p>
        </w:tc>
      </w:tr>
      <w:tr>
        <w:tblPrEx>
          <w:tblCellMar>
            <w:top w:w="0" w:type="dxa"/>
            <w:left w:w="108" w:type="dxa"/>
            <w:bottom w:w="0" w:type="dxa"/>
            <w:right w:w="108" w:type="dxa"/>
          </w:tblCellMar>
        </w:tblPrEx>
        <w:trPr>
          <w:trHeight w:val="918" w:hRule="atLeast"/>
          <w:jc w:val="center"/>
        </w:trPr>
        <w:tc>
          <w:tcPr>
            <w:tcW w:w="518"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eastAsia="仿宋_GB2312"/>
                <w:kern w:val="0"/>
                <w:sz w:val="20"/>
                <w:szCs w:val="20"/>
              </w:rPr>
            </w:pPr>
          </w:p>
        </w:tc>
        <w:tc>
          <w:tcPr>
            <w:tcW w:w="416"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eastAsia="仿宋_GB2312"/>
                <w:kern w:val="0"/>
                <w:sz w:val="20"/>
                <w:szCs w:val="20"/>
              </w:rPr>
            </w:pPr>
          </w:p>
        </w:tc>
        <w:tc>
          <w:tcPr>
            <w:tcW w:w="677"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仿宋_GB2312"/>
                <w:kern w:val="0"/>
                <w:sz w:val="20"/>
                <w:szCs w:val="20"/>
              </w:rPr>
            </w:pPr>
          </w:p>
        </w:tc>
        <w:tc>
          <w:tcPr>
            <w:tcW w:w="416"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仿宋_GB2312"/>
                <w:kern w:val="0"/>
                <w:sz w:val="20"/>
                <w:szCs w:val="20"/>
              </w:rPr>
            </w:pPr>
          </w:p>
        </w:tc>
        <w:tc>
          <w:tcPr>
            <w:tcW w:w="1014" w:type="dxa"/>
            <w:tcBorders>
              <w:top w:val="nil"/>
              <w:left w:val="nil"/>
              <w:bottom w:val="single" w:color="auto" w:sz="4" w:space="0"/>
              <w:right w:val="single" w:color="auto" w:sz="4" w:space="0"/>
            </w:tcBorders>
            <w:noWrap w:val="0"/>
            <w:vAlign w:val="center"/>
          </w:tcPr>
          <w:p>
            <w:pPr>
              <w:widowControl/>
              <w:jc w:val="left"/>
              <w:rPr>
                <w:rFonts w:eastAsia="仿宋_GB2312"/>
                <w:kern w:val="0"/>
                <w:sz w:val="20"/>
                <w:szCs w:val="20"/>
              </w:rPr>
            </w:pPr>
            <w:r>
              <w:rPr>
                <w:rFonts w:eastAsia="仿宋_GB2312"/>
                <w:kern w:val="0"/>
                <w:sz w:val="20"/>
                <w:szCs w:val="20"/>
              </w:rPr>
              <w:t>政府采购执行率</w:t>
            </w:r>
          </w:p>
        </w:tc>
        <w:tc>
          <w:tcPr>
            <w:tcW w:w="416" w:type="dxa"/>
            <w:tcBorders>
              <w:top w:val="nil"/>
              <w:left w:val="nil"/>
              <w:bottom w:val="single" w:color="auto" w:sz="4" w:space="0"/>
              <w:right w:val="single" w:color="auto" w:sz="4" w:space="0"/>
            </w:tcBorders>
            <w:noWrap w:val="0"/>
            <w:vAlign w:val="center"/>
          </w:tcPr>
          <w:p>
            <w:pPr>
              <w:widowControl/>
              <w:jc w:val="center"/>
              <w:rPr>
                <w:rFonts w:eastAsia="仿宋_GB2312"/>
                <w:kern w:val="0"/>
                <w:sz w:val="20"/>
                <w:szCs w:val="20"/>
              </w:rPr>
            </w:pPr>
            <w:r>
              <w:rPr>
                <w:rFonts w:eastAsia="仿宋_GB2312"/>
                <w:kern w:val="0"/>
                <w:sz w:val="20"/>
                <w:szCs w:val="20"/>
              </w:rPr>
              <w:t>6</w:t>
            </w:r>
          </w:p>
        </w:tc>
        <w:tc>
          <w:tcPr>
            <w:tcW w:w="3016" w:type="dxa"/>
            <w:tcBorders>
              <w:top w:val="nil"/>
              <w:left w:val="nil"/>
              <w:bottom w:val="single" w:color="auto" w:sz="4" w:space="0"/>
              <w:right w:val="single" w:color="auto" w:sz="4" w:space="0"/>
            </w:tcBorders>
            <w:noWrap w:val="0"/>
            <w:vAlign w:val="center"/>
          </w:tcPr>
          <w:p>
            <w:pPr>
              <w:widowControl/>
              <w:jc w:val="left"/>
              <w:rPr>
                <w:rFonts w:eastAsia="仿宋_GB2312"/>
                <w:kern w:val="0"/>
                <w:sz w:val="20"/>
                <w:szCs w:val="20"/>
              </w:rPr>
            </w:pPr>
            <w:r>
              <w:rPr>
                <w:rFonts w:eastAsia="仿宋_GB2312"/>
                <w:kern w:val="0"/>
                <w:sz w:val="20"/>
                <w:szCs w:val="20"/>
              </w:rPr>
              <w:t>100%计满分，每超过（降低）5%扣2分。扣完为止。</w:t>
            </w:r>
          </w:p>
        </w:tc>
        <w:tc>
          <w:tcPr>
            <w:tcW w:w="3490" w:type="dxa"/>
            <w:tcBorders>
              <w:top w:val="nil"/>
              <w:left w:val="nil"/>
              <w:bottom w:val="single" w:color="auto" w:sz="4" w:space="0"/>
              <w:right w:val="single" w:color="auto" w:sz="4" w:space="0"/>
            </w:tcBorders>
            <w:noWrap w:val="0"/>
            <w:vAlign w:val="center"/>
          </w:tcPr>
          <w:p>
            <w:pPr>
              <w:widowControl/>
              <w:jc w:val="left"/>
              <w:rPr>
                <w:rFonts w:eastAsia="仿宋_GB2312"/>
                <w:kern w:val="0"/>
                <w:sz w:val="20"/>
                <w:szCs w:val="20"/>
              </w:rPr>
            </w:pPr>
            <w:r>
              <w:rPr>
                <w:rFonts w:eastAsia="仿宋_GB2312"/>
                <w:kern w:val="0"/>
                <w:sz w:val="20"/>
                <w:szCs w:val="20"/>
              </w:rPr>
              <w:t>政府采购执行率=（实际政府采购金额/政府采购预算数）×100%</w:t>
            </w:r>
          </w:p>
        </w:tc>
        <w:tc>
          <w:tcPr>
            <w:tcW w:w="637" w:type="dxa"/>
            <w:tcBorders>
              <w:top w:val="nil"/>
              <w:left w:val="nil"/>
              <w:bottom w:val="single" w:color="auto" w:sz="4" w:space="0"/>
              <w:right w:val="single" w:color="auto" w:sz="4" w:space="0"/>
            </w:tcBorders>
            <w:noWrap w:val="0"/>
            <w:vAlign w:val="center"/>
          </w:tcPr>
          <w:p>
            <w:pPr>
              <w:widowControl/>
              <w:jc w:val="center"/>
              <w:rPr>
                <w:kern w:val="0"/>
                <w:sz w:val="24"/>
              </w:rPr>
            </w:pPr>
            <w:r>
              <w:rPr>
                <w:rFonts w:hint="eastAsia"/>
                <w:kern w:val="0"/>
                <w:sz w:val="24"/>
              </w:rPr>
              <w:t>6</w:t>
            </w:r>
          </w:p>
        </w:tc>
      </w:tr>
      <w:tr>
        <w:tblPrEx>
          <w:tblCellMar>
            <w:top w:w="0" w:type="dxa"/>
            <w:left w:w="108" w:type="dxa"/>
            <w:bottom w:w="0" w:type="dxa"/>
            <w:right w:w="108" w:type="dxa"/>
          </w:tblCellMar>
        </w:tblPrEx>
        <w:trPr>
          <w:jc w:val="center"/>
        </w:trPr>
        <w:tc>
          <w:tcPr>
            <w:tcW w:w="518" w:type="dxa"/>
            <w:vMerge w:val="restart"/>
            <w:tcBorders>
              <w:top w:val="single" w:color="auto" w:sz="4" w:space="0"/>
              <w:left w:val="single" w:color="auto" w:sz="4" w:space="0"/>
              <w:bottom w:val="single" w:color="000000" w:sz="4" w:space="0"/>
              <w:right w:val="single" w:color="auto" w:sz="4" w:space="0"/>
            </w:tcBorders>
            <w:noWrap w:val="0"/>
            <w:vAlign w:val="center"/>
          </w:tcPr>
          <w:p>
            <w:pPr>
              <w:jc w:val="left"/>
              <w:rPr>
                <w:rFonts w:eastAsia="仿宋_GB2312"/>
                <w:kern w:val="0"/>
                <w:sz w:val="20"/>
                <w:szCs w:val="20"/>
              </w:rPr>
            </w:pPr>
            <w:r>
              <w:rPr>
                <w:rFonts w:eastAsia="仿宋_GB2312"/>
                <w:kern w:val="0"/>
                <w:sz w:val="20"/>
                <w:szCs w:val="20"/>
              </w:rPr>
              <w:t>过                                                                                                                                       程</w:t>
            </w:r>
          </w:p>
        </w:tc>
        <w:tc>
          <w:tcPr>
            <w:tcW w:w="416" w:type="dxa"/>
            <w:vMerge w:val="restart"/>
            <w:tcBorders>
              <w:top w:val="single" w:color="auto" w:sz="4" w:space="0"/>
              <w:left w:val="single" w:color="auto" w:sz="4" w:space="0"/>
              <w:bottom w:val="single" w:color="000000" w:sz="4" w:space="0"/>
              <w:right w:val="single" w:color="auto" w:sz="4" w:space="0"/>
            </w:tcBorders>
            <w:noWrap w:val="0"/>
            <w:vAlign w:val="center"/>
          </w:tcPr>
          <w:p>
            <w:pPr>
              <w:jc w:val="left"/>
              <w:rPr>
                <w:rFonts w:eastAsia="仿宋_GB2312"/>
                <w:kern w:val="0"/>
                <w:sz w:val="20"/>
                <w:szCs w:val="20"/>
              </w:rPr>
            </w:pPr>
          </w:p>
        </w:tc>
        <w:tc>
          <w:tcPr>
            <w:tcW w:w="677" w:type="dxa"/>
            <w:vMerge w:val="restart"/>
            <w:tcBorders>
              <w:top w:val="nil"/>
              <w:left w:val="nil"/>
              <w:bottom w:val="single" w:color="auto" w:sz="4" w:space="0"/>
              <w:right w:val="single" w:color="auto" w:sz="4" w:space="0"/>
            </w:tcBorders>
            <w:noWrap w:val="0"/>
            <w:vAlign w:val="center"/>
          </w:tcPr>
          <w:p>
            <w:pPr>
              <w:widowControl/>
              <w:jc w:val="left"/>
              <w:rPr>
                <w:rFonts w:eastAsia="仿宋_GB2312"/>
                <w:kern w:val="0"/>
                <w:sz w:val="20"/>
                <w:szCs w:val="20"/>
              </w:rPr>
            </w:pPr>
            <w:r>
              <w:rPr>
                <w:rFonts w:eastAsia="仿宋_GB2312"/>
                <w:kern w:val="0"/>
                <w:sz w:val="20"/>
                <w:szCs w:val="20"/>
              </w:rPr>
              <w:t>预算管理</w:t>
            </w:r>
          </w:p>
        </w:tc>
        <w:tc>
          <w:tcPr>
            <w:tcW w:w="416"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仿宋_GB2312"/>
                <w:kern w:val="0"/>
                <w:sz w:val="20"/>
                <w:szCs w:val="20"/>
              </w:rPr>
            </w:pPr>
          </w:p>
        </w:tc>
        <w:tc>
          <w:tcPr>
            <w:tcW w:w="1014" w:type="dxa"/>
            <w:tcBorders>
              <w:top w:val="nil"/>
              <w:left w:val="nil"/>
              <w:bottom w:val="single" w:color="auto" w:sz="4" w:space="0"/>
              <w:right w:val="single" w:color="auto" w:sz="4" w:space="0"/>
            </w:tcBorders>
            <w:noWrap w:val="0"/>
            <w:vAlign w:val="center"/>
          </w:tcPr>
          <w:p>
            <w:pPr>
              <w:widowControl/>
              <w:jc w:val="left"/>
              <w:rPr>
                <w:rFonts w:eastAsia="仿宋_GB2312"/>
                <w:kern w:val="0"/>
                <w:sz w:val="20"/>
                <w:szCs w:val="20"/>
              </w:rPr>
            </w:pPr>
            <w:r>
              <w:rPr>
                <w:rFonts w:eastAsia="仿宋_GB2312"/>
                <w:kern w:val="0"/>
                <w:sz w:val="20"/>
                <w:szCs w:val="20"/>
              </w:rPr>
              <w:t>管理制度健全性</w:t>
            </w:r>
          </w:p>
        </w:tc>
        <w:tc>
          <w:tcPr>
            <w:tcW w:w="416" w:type="dxa"/>
            <w:tcBorders>
              <w:top w:val="nil"/>
              <w:left w:val="nil"/>
              <w:bottom w:val="single" w:color="auto" w:sz="4" w:space="0"/>
              <w:right w:val="single" w:color="auto" w:sz="4" w:space="0"/>
            </w:tcBorders>
            <w:noWrap w:val="0"/>
            <w:vAlign w:val="center"/>
          </w:tcPr>
          <w:p>
            <w:pPr>
              <w:widowControl/>
              <w:jc w:val="center"/>
              <w:rPr>
                <w:rFonts w:eastAsia="仿宋_GB2312"/>
                <w:kern w:val="0"/>
                <w:sz w:val="20"/>
                <w:szCs w:val="20"/>
              </w:rPr>
            </w:pPr>
            <w:r>
              <w:rPr>
                <w:rFonts w:eastAsia="仿宋_GB2312"/>
                <w:kern w:val="0"/>
                <w:sz w:val="20"/>
                <w:szCs w:val="20"/>
              </w:rPr>
              <w:t>8</w:t>
            </w:r>
          </w:p>
        </w:tc>
        <w:tc>
          <w:tcPr>
            <w:tcW w:w="3016" w:type="dxa"/>
            <w:tcBorders>
              <w:top w:val="nil"/>
              <w:left w:val="nil"/>
              <w:bottom w:val="single" w:color="auto" w:sz="4" w:space="0"/>
              <w:right w:val="single" w:color="auto" w:sz="4" w:space="0"/>
            </w:tcBorders>
            <w:noWrap w:val="0"/>
            <w:vAlign w:val="center"/>
          </w:tcPr>
          <w:p>
            <w:pPr>
              <w:widowControl/>
              <w:jc w:val="left"/>
              <w:rPr>
                <w:rFonts w:eastAsia="仿宋_GB2312"/>
                <w:kern w:val="0"/>
                <w:sz w:val="20"/>
                <w:szCs w:val="20"/>
              </w:rPr>
            </w:pPr>
            <w:r>
              <w:rPr>
                <w:rFonts w:eastAsia="仿宋_GB2312"/>
                <w:kern w:val="0"/>
                <w:sz w:val="20"/>
                <w:szCs w:val="20"/>
              </w:rPr>
              <w:t>①有内部财务管理制度、会计核算制度等管理制度，2分；</w:t>
            </w:r>
            <w:r>
              <w:rPr>
                <w:rFonts w:eastAsia="仿宋_GB2312"/>
                <w:kern w:val="0"/>
                <w:sz w:val="20"/>
                <w:szCs w:val="20"/>
              </w:rPr>
              <w:br w:type="textWrapping"/>
            </w:r>
            <w:r>
              <w:rPr>
                <w:rFonts w:eastAsia="仿宋_GB2312"/>
                <w:kern w:val="0"/>
                <w:sz w:val="20"/>
                <w:szCs w:val="20"/>
              </w:rPr>
              <w:t>②有本部门厉行节约制度,2分；</w:t>
            </w:r>
            <w:r>
              <w:rPr>
                <w:rFonts w:eastAsia="仿宋_GB2312"/>
                <w:kern w:val="0"/>
                <w:sz w:val="20"/>
                <w:szCs w:val="20"/>
              </w:rPr>
              <w:br w:type="textWrapping"/>
            </w:r>
            <w:r>
              <w:rPr>
                <w:rFonts w:eastAsia="仿宋_GB2312"/>
                <w:kern w:val="0"/>
                <w:sz w:val="20"/>
                <w:szCs w:val="20"/>
              </w:rPr>
              <w:t>③相关管理制度合法、合规、完整，2分；④相关管理制度得到有效执行，2分。</w:t>
            </w:r>
          </w:p>
        </w:tc>
        <w:tc>
          <w:tcPr>
            <w:tcW w:w="3490" w:type="dxa"/>
            <w:tcBorders>
              <w:top w:val="nil"/>
              <w:left w:val="nil"/>
              <w:bottom w:val="single" w:color="auto" w:sz="4" w:space="0"/>
              <w:right w:val="single" w:color="auto" w:sz="4" w:space="0"/>
            </w:tcBorders>
            <w:noWrap w:val="0"/>
            <w:vAlign w:val="center"/>
          </w:tcPr>
          <w:p>
            <w:pPr>
              <w:widowControl/>
              <w:jc w:val="left"/>
              <w:rPr>
                <w:rFonts w:eastAsia="仿宋_GB2312"/>
                <w:kern w:val="0"/>
                <w:sz w:val="20"/>
                <w:szCs w:val="20"/>
              </w:rPr>
            </w:pPr>
            <w:r>
              <w:rPr>
                <w:rFonts w:eastAsia="仿宋_GB2312"/>
                <w:kern w:val="0"/>
                <w:sz w:val="20"/>
                <w:szCs w:val="20"/>
              </w:rPr>
              <w:t>　</w:t>
            </w:r>
          </w:p>
        </w:tc>
        <w:tc>
          <w:tcPr>
            <w:tcW w:w="637" w:type="dxa"/>
            <w:tcBorders>
              <w:top w:val="nil"/>
              <w:left w:val="nil"/>
              <w:bottom w:val="single" w:color="auto" w:sz="4" w:space="0"/>
              <w:right w:val="single" w:color="auto" w:sz="4" w:space="0"/>
            </w:tcBorders>
            <w:noWrap w:val="0"/>
            <w:vAlign w:val="center"/>
          </w:tcPr>
          <w:p>
            <w:pPr>
              <w:widowControl/>
              <w:jc w:val="center"/>
              <w:rPr>
                <w:kern w:val="0"/>
                <w:sz w:val="24"/>
              </w:rPr>
            </w:pPr>
            <w:r>
              <w:rPr>
                <w:rFonts w:hint="eastAsia"/>
                <w:kern w:val="0"/>
                <w:sz w:val="24"/>
              </w:rPr>
              <w:t>8</w:t>
            </w:r>
          </w:p>
        </w:tc>
      </w:tr>
      <w:tr>
        <w:tblPrEx>
          <w:tblCellMar>
            <w:top w:w="0" w:type="dxa"/>
            <w:left w:w="108" w:type="dxa"/>
            <w:bottom w:w="0" w:type="dxa"/>
            <w:right w:w="108" w:type="dxa"/>
          </w:tblCellMar>
        </w:tblPrEx>
        <w:trPr>
          <w:trHeight w:val="3015" w:hRule="atLeast"/>
          <w:jc w:val="center"/>
        </w:trPr>
        <w:tc>
          <w:tcPr>
            <w:tcW w:w="518"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仿宋_GB2312"/>
                <w:kern w:val="0"/>
                <w:sz w:val="20"/>
                <w:szCs w:val="20"/>
              </w:rPr>
            </w:pPr>
          </w:p>
        </w:tc>
        <w:tc>
          <w:tcPr>
            <w:tcW w:w="416"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仿宋_GB2312"/>
                <w:kern w:val="0"/>
                <w:sz w:val="20"/>
                <w:szCs w:val="20"/>
              </w:rPr>
            </w:pPr>
          </w:p>
        </w:tc>
        <w:tc>
          <w:tcPr>
            <w:tcW w:w="677" w:type="dxa"/>
            <w:vMerge w:val="continue"/>
            <w:tcBorders>
              <w:top w:val="nil"/>
              <w:left w:val="nil"/>
              <w:bottom w:val="single" w:color="auto" w:sz="4" w:space="0"/>
              <w:right w:val="single" w:color="auto" w:sz="4" w:space="0"/>
            </w:tcBorders>
            <w:noWrap w:val="0"/>
            <w:vAlign w:val="center"/>
          </w:tcPr>
          <w:p>
            <w:pPr>
              <w:widowControl/>
              <w:jc w:val="left"/>
              <w:rPr>
                <w:rFonts w:eastAsia="仿宋_GB2312"/>
                <w:kern w:val="0"/>
                <w:sz w:val="20"/>
                <w:szCs w:val="20"/>
              </w:rPr>
            </w:pPr>
          </w:p>
        </w:tc>
        <w:tc>
          <w:tcPr>
            <w:tcW w:w="416"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仿宋_GB2312"/>
                <w:kern w:val="0"/>
                <w:sz w:val="20"/>
                <w:szCs w:val="20"/>
              </w:rPr>
            </w:pPr>
          </w:p>
        </w:tc>
        <w:tc>
          <w:tcPr>
            <w:tcW w:w="1014" w:type="dxa"/>
            <w:tcBorders>
              <w:top w:val="nil"/>
              <w:left w:val="nil"/>
              <w:bottom w:val="single" w:color="auto" w:sz="4" w:space="0"/>
              <w:right w:val="single" w:color="auto" w:sz="4" w:space="0"/>
            </w:tcBorders>
            <w:noWrap w:val="0"/>
            <w:vAlign w:val="center"/>
          </w:tcPr>
          <w:p>
            <w:pPr>
              <w:widowControl/>
              <w:jc w:val="left"/>
              <w:rPr>
                <w:rFonts w:eastAsia="仿宋_GB2312"/>
                <w:kern w:val="0"/>
                <w:sz w:val="20"/>
                <w:szCs w:val="20"/>
              </w:rPr>
            </w:pPr>
            <w:r>
              <w:rPr>
                <w:rFonts w:eastAsia="仿宋_GB2312"/>
                <w:kern w:val="0"/>
                <w:sz w:val="20"/>
                <w:szCs w:val="20"/>
              </w:rPr>
              <w:t>资金使用合规性</w:t>
            </w:r>
          </w:p>
        </w:tc>
        <w:tc>
          <w:tcPr>
            <w:tcW w:w="416" w:type="dxa"/>
            <w:tcBorders>
              <w:top w:val="nil"/>
              <w:left w:val="nil"/>
              <w:bottom w:val="single" w:color="auto" w:sz="4" w:space="0"/>
              <w:right w:val="single" w:color="auto" w:sz="4" w:space="0"/>
            </w:tcBorders>
            <w:noWrap w:val="0"/>
            <w:vAlign w:val="center"/>
          </w:tcPr>
          <w:p>
            <w:pPr>
              <w:widowControl/>
              <w:jc w:val="center"/>
              <w:rPr>
                <w:rFonts w:eastAsia="仿宋_GB2312"/>
                <w:kern w:val="0"/>
                <w:sz w:val="20"/>
                <w:szCs w:val="20"/>
              </w:rPr>
            </w:pPr>
            <w:r>
              <w:rPr>
                <w:rFonts w:eastAsia="仿宋_GB2312"/>
                <w:kern w:val="0"/>
                <w:sz w:val="20"/>
                <w:szCs w:val="20"/>
              </w:rPr>
              <w:t>6</w:t>
            </w:r>
          </w:p>
        </w:tc>
        <w:tc>
          <w:tcPr>
            <w:tcW w:w="3016" w:type="dxa"/>
            <w:tcBorders>
              <w:top w:val="nil"/>
              <w:left w:val="nil"/>
              <w:bottom w:val="single" w:color="auto" w:sz="4" w:space="0"/>
              <w:right w:val="single" w:color="auto" w:sz="4" w:space="0"/>
            </w:tcBorders>
            <w:noWrap w:val="0"/>
            <w:vAlign w:val="center"/>
          </w:tcPr>
          <w:p>
            <w:pPr>
              <w:widowControl/>
              <w:jc w:val="left"/>
              <w:rPr>
                <w:rFonts w:eastAsia="仿宋_GB2312"/>
                <w:kern w:val="0"/>
                <w:sz w:val="20"/>
                <w:szCs w:val="20"/>
              </w:rPr>
            </w:pPr>
            <w:r>
              <w:rPr>
                <w:rFonts w:eastAsia="仿宋_GB2312"/>
                <w:kern w:val="0"/>
                <w:sz w:val="20"/>
                <w:szCs w:val="20"/>
              </w:rPr>
              <w:t>①支出符合国家财经法规和财务管理制度规定以及有关专项资金管理办法的规定；②资金拨付有完整的审批程序和手续；③项目支出按规定经过评估论证；④支出符合部门预算批复的用途；⑤资金使用无截留、挤占、挪用、虚列支出等情况。</w:t>
            </w:r>
            <w:r>
              <w:rPr>
                <w:rFonts w:eastAsia="仿宋_GB2312"/>
                <w:kern w:val="0"/>
                <w:sz w:val="20"/>
                <w:szCs w:val="20"/>
              </w:rPr>
              <w:br w:type="textWrapping"/>
            </w:r>
            <w:r>
              <w:rPr>
                <w:rFonts w:eastAsia="仿宋_GB2312"/>
                <w:kern w:val="0"/>
                <w:sz w:val="20"/>
                <w:szCs w:val="20"/>
              </w:rPr>
              <w:t>以上情况每出现一例不符合要求的扣1分，扣完为止。</w:t>
            </w:r>
          </w:p>
        </w:tc>
        <w:tc>
          <w:tcPr>
            <w:tcW w:w="3490" w:type="dxa"/>
            <w:tcBorders>
              <w:top w:val="nil"/>
              <w:left w:val="nil"/>
              <w:bottom w:val="single" w:color="auto" w:sz="4" w:space="0"/>
              <w:right w:val="single" w:color="auto" w:sz="4" w:space="0"/>
            </w:tcBorders>
            <w:noWrap w:val="0"/>
            <w:vAlign w:val="center"/>
          </w:tcPr>
          <w:p>
            <w:pPr>
              <w:widowControl/>
              <w:jc w:val="left"/>
              <w:rPr>
                <w:rFonts w:eastAsia="仿宋_GB2312"/>
                <w:kern w:val="0"/>
                <w:sz w:val="20"/>
                <w:szCs w:val="20"/>
              </w:rPr>
            </w:pPr>
            <w:r>
              <w:rPr>
                <w:rFonts w:eastAsia="仿宋_GB2312"/>
                <w:kern w:val="0"/>
                <w:sz w:val="20"/>
                <w:szCs w:val="20"/>
              </w:rPr>
              <w:t>　</w:t>
            </w:r>
          </w:p>
        </w:tc>
        <w:tc>
          <w:tcPr>
            <w:tcW w:w="637" w:type="dxa"/>
            <w:tcBorders>
              <w:top w:val="nil"/>
              <w:left w:val="nil"/>
              <w:bottom w:val="single" w:color="auto" w:sz="4" w:space="0"/>
              <w:right w:val="single" w:color="auto" w:sz="4" w:space="0"/>
            </w:tcBorders>
            <w:noWrap w:val="0"/>
            <w:vAlign w:val="center"/>
          </w:tcPr>
          <w:p>
            <w:pPr>
              <w:widowControl/>
              <w:jc w:val="center"/>
              <w:rPr>
                <w:kern w:val="0"/>
                <w:sz w:val="24"/>
              </w:rPr>
            </w:pPr>
            <w:r>
              <w:rPr>
                <w:rFonts w:hint="eastAsia"/>
                <w:kern w:val="0"/>
                <w:sz w:val="24"/>
              </w:rPr>
              <w:t>6</w:t>
            </w:r>
          </w:p>
        </w:tc>
      </w:tr>
      <w:tr>
        <w:tblPrEx>
          <w:tblCellMar>
            <w:top w:w="0" w:type="dxa"/>
            <w:left w:w="108" w:type="dxa"/>
            <w:bottom w:w="0" w:type="dxa"/>
            <w:right w:w="108" w:type="dxa"/>
          </w:tblCellMar>
        </w:tblPrEx>
        <w:trPr>
          <w:jc w:val="center"/>
        </w:trPr>
        <w:tc>
          <w:tcPr>
            <w:tcW w:w="518"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仿宋_GB2312"/>
                <w:kern w:val="0"/>
                <w:sz w:val="20"/>
                <w:szCs w:val="20"/>
              </w:rPr>
            </w:pPr>
          </w:p>
        </w:tc>
        <w:tc>
          <w:tcPr>
            <w:tcW w:w="416"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仿宋_GB2312"/>
                <w:kern w:val="0"/>
                <w:sz w:val="20"/>
                <w:szCs w:val="20"/>
              </w:rPr>
            </w:pPr>
          </w:p>
        </w:tc>
        <w:tc>
          <w:tcPr>
            <w:tcW w:w="677" w:type="dxa"/>
            <w:vMerge w:val="continue"/>
            <w:tcBorders>
              <w:top w:val="nil"/>
              <w:left w:val="nil"/>
              <w:bottom w:val="single" w:color="auto" w:sz="4" w:space="0"/>
              <w:right w:val="single" w:color="auto" w:sz="4" w:space="0"/>
            </w:tcBorders>
            <w:noWrap w:val="0"/>
            <w:vAlign w:val="center"/>
          </w:tcPr>
          <w:p>
            <w:pPr>
              <w:widowControl/>
              <w:jc w:val="left"/>
              <w:rPr>
                <w:rFonts w:eastAsia="仿宋_GB2312"/>
                <w:kern w:val="0"/>
                <w:sz w:val="20"/>
                <w:szCs w:val="20"/>
              </w:rPr>
            </w:pPr>
          </w:p>
        </w:tc>
        <w:tc>
          <w:tcPr>
            <w:tcW w:w="416"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仿宋_GB2312"/>
                <w:kern w:val="0"/>
                <w:sz w:val="20"/>
                <w:szCs w:val="20"/>
              </w:rPr>
            </w:pPr>
          </w:p>
        </w:tc>
        <w:tc>
          <w:tcPr>
            <w:tcW w:w="1014" w:type="dxa"/>
            <w:tcBorders>
              <w:top w:val="nil"/>
              <w:left w:val="nil"/>
              <w:bottom w:val="single" w:color="auto" w:sz="4" w:space="0"/>
              <w:right w:val="single" w:color="auto" w:sz="4" w:space="0"/>
            </w:tcBorders>
            <w:noWrap w:val="0"/>
            <w:vAlign w:val="center"/>
          </w:tcPr>
          <w:p>
            <w:pPr>
              <w:widowControl/>
              <w:jc w:val="left"/>
              <w:rPr>
                <w:rFonts w:eastAsia="仿宋_GB2312"/>
                <w:kern w:val="0"/>
                <w:sz w:val="20"/>
                <w:szCs w:val="20"/>
              </w:rPr>
            </w:pPr>
            <w:r>
              <w:rPr>
                <w:rFonts w:eastAsia="仿宋_GB2312"/>
                <w:kern w:val="0"/>
                <w:sz w:val="20"/>
                <w:szCs w:val="20"/>
              </w:rPr>
              <w:t>预决算信息公开性</w:t>
            </w:r>
          </w:p>
        </w:tc>
        <w:tc>
          <w:tcPr>
            <w:tcW w:w="416" w:type="dxa"/>
            <w:tcBorders>
              <w:top w:val="nil"/>
              <w:left w:val="nil"/>
              <w:bottom w:val="single" w:color="auto" w:sz="4" w:space="0"/>
              <w:right w:val="single" w:color="auto" w:sz="4" w:space="0"/>
            </w:tcBorders>
            <w:noWrap w:val="0"/>
            <w:vAlign w:val="center"/>
          </w:tcPr>
          <w:p>
            <w:pPr>
              <w:widowControl/>
              <w:jc w:val="center"/>
              <w:rPr>
                <w:rFonts w:eastAsia="仿宋_GB2312"/>
                <w:kern w:val="0"/>
                <w:sz w:val="20"/>
                <w:szCs w:val="20"/>
              </w:rPr>
            </w:pPr>
            <w:r>
              <w:rPr>
                <w:rFonts w:eastAsia="仿宋_GB2312"/>
                <w:kern w:val="0"/>
                <w:sz w:val="20"/>
                <w:szCs w:val="20"/>
              </w:rPr>
              <w:t>5</w:t>
            </w:r>
          </w:p>
        </w:tc>
        <w:tc>
          <w:tcPr>
            <w:tcW w:w="3016" w:type="dxa"/>
            <w:tcBorders>
              <w:top w:val="nil"/>
              <w:left w:val="nil"/>
              <w:bottom w:val="single" w:color="auto" w:sz="4" w:space="0"/>
              <w:right w:val="single" w:color="auto" w:sz="4" w:space="0"/>
            </w:tcBorders>
            <w:noWrap w:val="0"/>
            <w:vAlign w:val="center"/>
          </w:tcPr>
          <w:p>
            <w:pPr>
              <w:widowControl/>
              <w:jc w:val="left"/>
              <w:rPr>
                <w:rFonts w:eastAsia="仿宋_GB2312"/>
                <w:kern w:val="0"/>
                <w:sz w:val="20"/>
                <w:szCs w:val="20"/>
              </w:rPr>
            </w:pPr>
            <w:r>
              <w:rPr>
                <w:rFonts w:eastAsia="仿宋_GB2312"/>
                <w:kern w:val="0"/>
                <w:sz w:val="20"/>
                <w:szCs w:val="20"/>
              </w:rPr>
              <w:t xml:space="preserve">①按规定内容公开预决算信息，1分；②按规定时限公开预决算信息，1分；③基础数据信息和会计信息资料真实，1分；④基础数据信息和会计信息资料完整，1分；⑤基础数据信息和汇集信息资料准确，1分。  </w:t>
            </w:r>
          </w:p>
        </w:tc>
        <w:tc>
          <w:tcPr>
            <w:tcW w:w="3490" w:type="dxa"/>
            <w:tcBorders>
              <w:top w:val="nil"/>
              <w:left w:val="nil"/>
              <w:bottom w:val="single" w:color="auto" w:sz="4" w:space="0"/>
              <w:right w:val="single" w:color="auto" w:sz="4" w:space="0"/>
            </w:tcBorders>
            <w:noWrap w:val="0"/>
            <w:vAlign w:val="center"/>
          </w:tcPr>
          <w:p>
            <w:pPr>
              <w:widowControl/>
              <w:jc w:val="left"/>
              <w:rPr>
                <w:rFonts w:eastAsia="仿宋_GB2312"/>
                <w:kern w:val="0"/>
                <w:sz w:val="20"/>
                <w:szCs w:val="20"/>
              </w:rPr>
            </w:pPr>
            <w:r>
              <w:rPr>
                <w:rFonts w:eastAsia="仿宋_GB2312"/>
                <w:kern w:val="0"/>
                <w:sz w:val="20"/>
                <w:szCs w:val="20"/>
              </w:rPr>
              <w:t>预决算信息是指与部门预算、执行、决算、监督、绩效等管理相关的信息。</w:t>
            </w:r>
          </w:p>
        </w:tc>
        <w:tc>
          <w:tcPr>
            <w:tcW w:w="637" w:type="dxa"/>
            <w:tcBorders>
              <w:top w:val="nil"/>
              <w:left w:val="nil"/>
              <w:bottom w:val="single" w:color="auto" w:sz="4" w:space="0"/>
              <w:right w:val="single" w:color="auto" w:sz="4" w:space="0"/>
            </w:tcBorders>
            <w:noWrap w:val="0"/>
            <w:vAlign w:val="center"/>
          </w:tcPr>
          <w:p>
            <w:pPr>
              <w:widowControl/>
              <w:jc w:val="center"/>
              <w:rPr>
                <w:kern w:val="0"/>
                <w:sz w:val="24"/>
              </w:rPr>
            </w:pPr>
            <w:r>
              <w:rPr>
                <w:rFonts w:hint="eastAsia"/>
                <w:kern w:val="0"/>
                <w:sz w:val="24"/>
              </w:rPr>
              <w:t>5</w:t>
            </w:r>
          </w:p>
        </w:tc>
      </w:tr>
      <w:tr>
        <w:tblPrEx>
          <w:tblCellMar>
            <w:top w:w="0" w:type="dxa"/>
            <w:left w:w="108" w:type="dxa"/>
            <w:bottom w:w="0" w:type="dxa"/>
            <w:right w:w="108" w:type="dxa"/>
          </w:tblCellMar>
        </w:tblPrEx>
        <w:trPr>
          <w:jc w:val="center"/>
        </w:trPr>
        <w:tc>
          <w:tcPr>
            <w:tcW w:w="518"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eastAsia="仿宋_GB2312"/>
                <w:kern w:val="0"/>
                <w:sz w:val="20"/>
                <w:szCs w:val="20"/>
              </w:rPr>
            </w:pPr>
            <w:r>
              <w:rPr>
                <w:rFonts w:eastAsia="仿宋_GB2312"/>
                <w:kern w:val="0"/>
                <w:sz w:val="20"/>
                <w:szCs w:val="20"/>
              </w:rPr>
              <w:t>产出及效率</w:t>
            </w:r>
          </w:p>
        </w:tc>
        <w:tc>
          <w:tcPr>
            <w:tcW w:w="416"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eastAsia="仿宋_GB2312"/>
                <w:kern w:val="0"/>
                <w:sz w:val="16"/>
                <w:szCs w:val="16"/>
              </w:rPr>
            </w:pPr>
            <w:r>
              <w:rPr>
                <w:rFonts w:eastAsia="仿宋_GB2312"/>
                <w:kern w:val="0"/>
                <w:sz w:val="18"/>
                <w:szCs w:val="18"/>
              </w:rPr>
              <w:t>30</w:t>
            </w:r>
          </w:p>
        </w:tc>
        <w:tc>
          <w:tcPr>
            <w:tcW w:w="677" w:type="dxa"/>
            <w:tcBorders>
              <w:top w:val="nil"/>
              <w:left w:val="nil"/>
              <w:bottom w:val="single" w:color="auto" w:sz="4" w:space="0"/>
              <w:right w:val="single" w:color="auto" w:sz="4" w:space="0"/>
            </w:tcBorders>
            <w:noWrap w:val="0"/>
            <w:vAlign w:val="center"/>
          </w:tcPr>
          <w:p>
            <w:pPr>
              <w:widowControl/>
              <w:jc w:val="center"/>
              <w:rPr>
                <w:rFonts w:eastAsia="仿宋_GB2312"/>
                <w:kern w:val="0"/>
                <w:sz w:val="20"/>
                <w:szCs w:val="20"/>
              </w:rPr>
            </w:pPr>
            <w:r>
              <w:rPr>
                <w:rFonts w:eastAsia="仿宋_GB2312"/>
                <w:kern w:val="0"/>
                <w:sz w:val="20"/>
                <w:szCs w:val="20"/>
              </w:rPr>
              <w:t>职责履行</w:t>
            </w:r>
          </w:p>
        </w:tc>
        <w:tc>
          <w:tcPr>
            <w:tcW w:w="416" w:type="dxa"/>
            <w:tcBorders>
              <w:top w:val="nil"/>
              <w:left w:val="nil"/>
              <w:bottom w:val="single" w:color="auto" w:sz="4" w:space="0"/>
              <w:right w:val="single" w:color="auto" w:sz="4" w:space="0"/>
            </w:tcBorders>
            <w:noWrap w:val="0"/>
            <w:vAlign w:val="center"/>
          </w:tcPr>
          <w:p>
            <w:pPr>
              <w:widowControl/>
              <w:jc w:val="center"/>
              <w:rPr>
                <w:rFonts w:eastAsia="仿宋_GB2312"/>
                <w:kern w:val="0"/>
                <w:sz w:val="20"/>
                <w:szCs w:val="20"/>
              </w:rPr>
            </w:pPr>
            <w:r>
              <w:rPr>
                <w:rFonts w:eastAsia="仿宋_GB2312"/>
                <w:kern w:val="0"/>
                <w:sz w:val="20"/>
                <w:szCs w:val="20"/>
              </w:rPr>
              <w:t>8</w:t>
            </w:r>
          </w:p>
        </w:tc>
        <w:tc>
          <w:tcPr>
            <w:tcW w:w="1014" w:type="dxa"/>
            <w:tcBorders>
              <w:top w:val="nil"/>
              <w:left w:val="nil"/>
              <w:bottom w:val="nil"/>
              <w:right w:val="single" w:color="auto" w:sz="4" w:space="0"/>
            </w:tcBorders>
            <w:noWrap w:val="0"/>
            <w:vAlign w:val="center"/>
          </w:tcPr>
          <w:p>
            <w:pPr>
              <w:widowControl/>
              <w:jc w:val="left"/>
              <w:rPr>
                <w:rFonts w:eastAsia="仿宋_GB2312"/>
                <w:kern w:val="0"/>
                <w:sz w:val="20"/>
                <w:szCs w:val="20"/>
              </w:rPr>
            </w:pPr>
            <w:r>
              <w:rPr>
                <w:rFonts w:eastAsia="仿宋_GB2312"/>
                <w:kern w:val="0"/>
                <w:sz w:val="20"/>
                <w:szCs w:val="20"/>
              </w:rPr>
              <w:t>重点工作实际完成率</w:t>
            </w:r>
          </w:p>
        </w:tc>
        <w:tc>
          <w:tcPr>
            <w:tcW w:w="416" w:type="dxa"/>
            <w:tcBorders>
              <w:top w:val="nil"/>
              <w:left w:val="nil"/>
              <w:bottom w:val="single" w:color="auto" w:sz="4" w:space="0"/>
              <w:right w:val="single" w:color="auto" w:sz="4" w:space="0"/>
            </w:tcBorders>
            <w:noWrap w:val="0"/>
            <w:vAlign w:val="center"/>
          </w:tcPr>
          <w:p>
            <w:pPr>
              <w:widowControl/>
              <w:jc w:val="center"/>
              <w:rPr>
                <w:rFonts w:eastAsia="仿宋_GB2312"/>
                <w:kern w:val="0"/>
                <w:sz w:val="20"/>
                <w:szCs w:val="20"/>
              </w:rPr>
            </w:pPr>
            <w:r>
              <w:rPr>
                <w:rFonts w:eastAsia="仿宋_GB2312"/>
                <w:kern w:val="0"/>
                <w:sz w:val="20"/>
                <w:szCs w:val="20"/>
              </w:rPr>
              <w:t>8</w:t>
            </w:r>
          </w:p>
        </w:tc>
        <w:tc>
          <w:tcPr>
            <w:tcW w:w="3016" w:type="dxa"/>
            <w:tcBorders>
              <w:top w:val="nil"/>
              <w:left w:val="nil"/>
              <w:bottom w:val="single" w:color="auto" w:sz="4" w:space="0"/>
              <w:right w:val="single" w:color="auto" w:sz="4" w:space="0"/>
            </w:tcBorders>
            <w:noWrap w:val="0"/>
            <w:vAlign w:val="center"/>
          </w:tcPr>
          <w:p>
            <w:pPr>
              <w:widowControl/>
              <w:jc w:val="left"/>
              <w:rPr>
                <w:rFonts w:eastAsia="仿宋_GB2312"/>
                <w:kern w:val="0"/>
                <w:sz w:val="20"/>
                <w:szCs w:val="20"/>
              </w:rPr>
            </w:pPr>
            <w:r>
              <w:rPr>
                <w:rFonts w:eastAsia="仿宋_GB2312"/>
                <w:kern w:val="0"/>
                <w:sz w:val="20"/>
                <w:szCs w:val="20"/>
              </w:rPr>
              <w:t>根据绩效办201</w:t>
            </w:r>
            <w:r>
              <w:rPr>
                <w:rFonts w:hint="eastAsia" w:eastAsia="仿宋_GB2312"/>
                <w:kern w:val="0"/>
                <w:sz w:val="20"/>
                <w:szCs w:val="20"/>
              </w:rPr>
              <w:t>7</w:t>
            </w:r>
            <w:r>
              <w:rPr>
                <w:rFonts w:eastAsia="仿宋_GB2312"/>
                <w:kern w:val="0"/>
                <w:sz w:val="20"/>
                <w:szCs w:val="20"/>
              </w:rPr>
              <w:t>年对各部门为民办实事和部门重点工程与重点工作考核分数折算。</w:t>
            </w:r>
            <w:r>
              <w:rPr>
                <w:rFonts w:eastAsia="仿宋_GB2312"/>
                <w:kern w:val="0"/>
                <w:sz w:val="20"/>
                <w:szCs w:val="20"/>
              </w:rPr>
              <w:br w:type="textWrapping"/>
            </w:r>
            <w:r>
              <w:rPr>
                <w:rFonts w:eastAsia="仿宋_GB2312"/>
                <w:kern w:val="0"/>
                <w:sz w:val="20"/>
                <w:szCs w:val="20"/>
              </w:rPr>
              <w:t>该项得分=（绩效办对应部分考核得分/350）*8</w:t>
            </w:r>
          </w:p>
        </w:tc>
        <w:tc>
          <w:tcPr>
            <w:tcW w:w="3490" w:type="dxa"/>
            <w:tcBorders>
              <w:top w:val="nil"/>
              <w:left w:val="nil"/>
              <w:bottom w:val="single" w:color="auto" w:sz="4" w:space="0"/>
              <w:right w:val="single" w:color="auto" w:sz="4" w:space="0"/>
            </w:tcBorders>
            <w:noWrap w:val="0"/>
            <w:vAlign w:val="center"/>
          </w:tcPr>
          <w:p>
            <w:pPr>
              <w:widowControl/>
              <w:jc w:val="left"/>
              <w:rPr>
                <w:rFonts w:eastAsia="仿宋_GB2312"/>
                <w:kern w:val="0"/>
                <w:sz w:val="20"/>
                <w:szCs w:val="20"/>
              </w:rPr>
            </w:pPr>
            <w:r>
              <w:rPr>
                <w:rFonts w:eastAsia="仿宋_GB2312"/>
                <w:kern w:val="0"/>
                <w:sz w:val="20"/>
                <w:szCs w:val="20"/>
              </w:rPr>
              <w:t>　</w:t>
            </w:r>
          </w:p>
        </w:tc>
        <w:tc>
          <w:tcPr>
            <w:tcW w:w="637" w:type="dxa"/>
            <w:tcBorders>
              <w:top w:val="nil"/>
              <w:left w:val="nil"/>
              <w:bottom w:val="single" w:color="auto" w:sz="4" w:space="0"/>
              <w:right w:val="single" w:color="auto" w:sz="4" w:space="0"/>
            </w:tcBorders>
            <w:noWrap w:val="0"/>
            <w:vAlign w:val="center"/>
          </w:tcPr>
          <w:p>
            <w:pPr>
              <w:widowControl/>
              <w:jc w:val="center"/>
              <w:rPr>
                <w:kern w:val="0"/>
                <w:sz w:val="24"/>
              </w:rPr>
            </w:pPr>
            <w:r>
              <w:rPr>
                <w:rFonts w:hint="eastAsia"/>
                <w:kern w:val="0"/>
                <w:sz w:val="24"/>
              </w:rPr>
              <w:t>8</w:t>
            </w:r>
          </w:p>
        </w:tc>
      </w:tr>
      <w:tr>
        <w:tblPrEx>
          <w:tblCellMar>
            <w:top w:w="0" w:type="dxa"/>
            <w:left w:w="108" w:type="dxa"/>
            <w:bottom w:w="0" w:type="dxa"/>
            <w:right w:w="108" w:type="dxa"/>
          </w:tblCellMar>
        </w:tblPrEx>
        <w:trPr>
          <w:jc w:val="center"/>
        </w:trPr>
        <w:tc>
          <w:tcPr>
            <w:tcW w:w="518"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仿宋_GB2312"/>
                <w:kern w:val="0"/>
                <w:sz w:val="20"/>
                <w:szCs w:val="20"/>
              </w:rPr>
            </w:pPr>
          </w:p>
        </w:tc>
        <w:tc>
          <w:tcPr>
            <w:tcW w:w="416"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仿宋_GB2312"/>
                <w:kern w:val="0"/>
                <w:sz w:val="20"/>
                <w:szCs w:val="20"/>
              </w:rPr>
            </w:pPr>
          </w:p>
        </w:tc>
        <w:tc>
          <w:tcPr>
            <w:tcW w:w="677"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eastAsia="仿宋_GB2312"/>
                <w:kern w:val="0"/>
                <w:sz w:val="20"/>
                <w:szCs w:val="20"/>
              </w:rPr>
            </w:pPr>
            <w:r>
              <w:rPr>
                <w:rFonts w:eastAsia="仿宋_GB2312"/>
                <w:kern w:val="0"/>
                <w:sz w:val="20"/>
                <w:szCs w:val="20"/>
              </w:rPr>
              <w:t>履职 效益</w:t>
            </w:r>
          </w:p>
        </w:tc>
        <w:tc>
          <w:tcPr>
            <w:tcW w:w="416"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eastAsia="仿宋_GB2312"/>
                <w:kern w:val="0"/>
                <w:sz w:val="20"/>
                <w:szCs w:val="20"/>
              </w:rPr>
            </w:pPr>
            <w:r>
              <w:rPr>
                <w:rFonts w:eastAsia="仿宋_GB2312"/>
                <w:kern w:val="0"/>
                <w:sz w:val="18"/>
                <w:szCs w:val="18"/>
              </w:rPr>
              <w:t>10</w:t>
            </w:r>
          </w:p>
        </w:tc>
        <w:tc>
          <w:tcPr>
            <w:tcW w:w="1014" w:type="dxa"/>
            <w:tcBorders>
              <w:top w:val="single" w:color="auto" w:sz="4" w:space="0"/>
              <w:left w:val="nil"/>
              <w:bottom w:val="single" w:color="auto" w:sz="4" w:space="0"/>
              <w:right w:val="single" w:color="auto" w:sz="4" w:space="0"/>
            </w:tcBorders>
            <w:noWrap w:val="0"/>
            <w:vAlign w:val="center"/>
          </w:tcPr>
          <w:p>
            <w:pPr>
              <w:widowControl/>
              <w:jc w:val="center"/>
              <w:rPr>
                <w:rFonts w:eastAsia="仿宋_GB2312"/>
                <w:kern w:val="0"/>
                <w:sz w:val="20"/>
                <w:szCs w:val="20"/>
              </w:rPr>
            </w:pPr>
            <w:r>
              <w:rPr>
                <w:rFonts w:eastAsia="仿宋_GB2312"/>
                <w:kern w:val="0"/>
                <w:sz w:val="18"/>
                <w:szCs w:val="18"/>
              </w:rPr>
              <w:t>经济效益</w:t>
            </w:r>
          </w:p>
        </w:tc>
        <w:tc>
          <w:tcPr>
            <w:tcW w:w="416" w:type="dxa"/>
            <w:vMerge w:val="restart"/>
            <w:tcBorders>
              <w:top w:val="nil"/>
              <w:left w:val="single" w:color="auto" w:sz="4" w:space="0"/>
              <w:bottom w:val="nil"/>
              <w:right w:val="single" w:color="auto" w:sz="4" w:space="0"/>
            </w:tcBorders>
            <w:noWrap w:val="0"/>
            <w:vAlign w:val="center"/>
          </w:tcPr>
          <w:p>
            <w:pPr>
              <w:widowControl/>
              <w:jc w:val="center"/>
              <w:rPr>
                <w:rFonts w:eastAsia="仿宋_GB2312"/>
                <w:kern w:val="0"/>
                <w:sz w:val="20"/>
                <w:szCs w:val="20"/>
              </w:rPr>
            </w:pPr>
            <w:r>
              <w:rPr>
                <w:rFonts w:eastAsia="仿宋_GB2312"/>
                <w:kern w:val="0"/>
                <w:sz w:val="18"/>
                <w:szCs w:val="18"/>
              </w:rPr>
              <w:t>10</w:t>
            </w:r>
          </w:p>
        </w:tc>
        <w:tc>
          <w:tcPr>
            <w:tcW w:w="6506" w:type="dxa"/>
            <w:gridSpan w:val="2"/>
            <w:vMerge w:val="restart"/>
            <w:tcBorders>
              <w:top w:val="single" w:color="auto" w:sz="4" w:space="0"/>
              <w:left w:val="single" w:color="auto" w:sz="4" w:space="0"/>
              <w:bottom w:val="nil"/>
              <w:right w:val="single" w:color="000000" w:sz="4" w:space="0"/>
            </w:tcBorders>
            <w:noWrap w:val="0"/>
            <w:vAlign w:val="center"/>
          </w:tcPr>
          <w:p>
            <w:pPr>
              <w:widowControl/>
              <w:jc w:val="left"/>
              <w:rPr>
                <w:rFonts w:eastAsia="仿宋_GB2312"/>
                <w:kern w:val="0"/>
                <w:sz w:val="20"/>
                <w:szCs w:val="20"/>
              </w:rPr>
            </w:pPr>
            <w:r>
              <w:rPr>
                <w:rFonts w:eastAsia="仿宋_GB2312"/>
                <w:kern w:val="0"/>
                <w:sz w:val="20"/>
                <w:szCs w:val="20"/>
              </w:rPr>
              <w:t>此两项指标为设置部门整体支出绩效评价指标时必须考虑的共性要素，可根据部门实际情况有选择的进行设置，并将其细化为相应的个性化指标。</w:t>
            </w:r>
          </w:p>
        </w:tc>
        <w:tc>
          <w:tcPr>
            <w:tcW w:w="637" w:type="dxa"/>
            <w:tcBorders>
              <w:top w:val="nil"/>
              <w:left w:val="nil"/>
              <w:bottom w:val="nil"/>
              <w:right w:val="single" w:color="auto" w:sz="4" w:space="0"/>
            </w:tcBorders>
            <w:noWrap w:val="0"/>
            <w:vAlign w:val="center"/>
          </w:tcPr>
          <w:p>
            <w:pPr>
              <w:widowControl/>
              <w:jc w:val="center"/>
              <w:rPr>
                <w:kern w:val="0"/>
                <w:sz w:val="24"/>
              </w:rPr>
            </w:pPr>
          </w:p>
        </w:tc>
      </w:tr>
      <w:tr>
        <w:tblPrEx>
          <w:tblCellMar>
            <w:top w:w="0" w:type="dxa"/>
            <w:left w:w="108" w:type="dxa"/>
            <w:bottom w:w="0" w:type="dxa"/>
            <w:right w:w="108" w:type="dxa"/>
          </w:tblCellMar>
        </w:tblPrEx>
        <w:trPr>
          <w:trHeight w:val="529" w:hRule="atLeast"/>
          <w:jc w:val="center"/>
        </w:trPr>
        <w:tc>
          <w:tcPr>
            <w:tcW w:w="518"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仿宋_GB2312"/>
                <w:kern w:val="0"/>
                <w:sz w:val="20"/>
                <w:szCs w:val="20"/>
              </w:rPr>
            </w:pPr>
          </w:p>
        </w:tc>
        <w:tc>
          <w:tcPr>
            <w:tcW w:w="416"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仿宋_GB2312"/>
                <w:kern w:val="0"/>
                <w:sz w:val="20"/>
                <w:szCs w:val="20"/>
              </w:rPr>
            </w:pPr>
          </w:p>
        </w:tc>
        <w:tc>
          <w:tcPr>
            <w:tcW w:w="677"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仿宋_GB2312"/>
                <w:kern w:val="0"/>
                <w:sz w:val="20"/>
                <w:szCs w:val="20"/>
              </w:rPr>
            </w:pPr>
          </w:p>
        </w:tc>
        <w:tc>
          <w:tcPr>
            <w:tcW w:w="416"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仿宋_GB2312"/>
                <w:kern w:val="0"/>
                <w:sz w:val="20"/>
                <w:szCs w:val="20"/>
              </w:rPr>
            </w:pPr>
          </w:p>
        </w:tc>
        <w:tc>
          <w:tcPr>
            <w:tcW w:w="1014" w:type="dxa"/>
            <w:tcBorders>
              <w:top w:val="nil"/>
              <w:left w:val="nil"/>
              <w:bottom w:val="single" w:color="auto" w:sz="4" w:space="0"/>
              <w:right w:val="single" w:color="auto" w:sz="4" w:space="0"/>
            </w:tcBorders>
            <w:noWrap w:val="0"/>
            <w:vAlign w:val="center"/>
          </w:tcPr>
          <w:p>
            <w:pPr>
              <w:widowControl/>
              <w:jc w:val="center"/>
              <w:rPr>
                <w:rFonts w:eastAsia="仿宋_GB2312"/>
                <w:kern w:val="0"/>
                <w:sz w:val="20"/>
                <w:szCs w:val="20"/>
              </w:rPr>
            </w:pPr>
            <w:r>
              <w:rPr>
                <w:rFonts w:eastAsia="仿宋_GB2312"/>
                <w:kern w:val="0"/>
                <w:sz w:val="18"/>
                <w:szCs w:val="18"/>
              </w:rPr>
              <w:t>社会效益</w:t>
            </w:r>
          </w:p>
        </w:tc>
        <w:tc>
          <w:tcPr>
            <w:tcW w:w="416" w:type="dxa"/>
            <w:vMerge w:val="continue"/>
            <w:tcBorders>
              <w:top w:val="nil"/>
              <w:left w:val="single" w:color="auto" w:sz="4" w:space="0"/>
              <w:bottom w:val="nil"/>
              <w:right w:val="single" w:color="auto" w:sz="4" w:space="0"/>
            </w:tcBorders>
            <w:noWrap w:val="0"/>
            <w:vAlign w:val="center"/>
          </w:tcPr>
          <w:p>
            <w:pPr>
              <w:widowControl/>
              <w:jc w:val="left"/>
              <w:rPr>
                <w:rFonts w:eastAsia="仿宋_GB2312"/>
                <w:kern w:val="0"/>
                <w:sz w:val="20"/>
                <w:szCs w:val="20"/>
              </w:rPr>
            </w:pPr>
          </w:p>
        </w:tc>
        <w:tc>
          <w:tcPr>
            <w:tcW w:w="6506" w:type="dxa"/>
            <w:gridSpan w:val="2"/>
            <w:vMerge w:val="continue"/>
            <w:tcBorders>
              <w:top w:val="single" w:color="auto" w:sz="4" w:space="0"/>
              <w:left w:val="single" w:color="auto" w:sz="4" w:space="0"/>
              <w:bottom w:val="nil"/>
              <w:right w:val="single" w:color="000000" w:sz="4" w:space="0"/>
            </w:tcBorders>
            <w:noWrap w:val="0"/>
            <w:vAlign w:val="center"/>
          </w:tcPr>
          <w:p>
            <w:pPr>
              <w:widowControl/>
              <w:jc w:val="left"/>
              <w:rPr>
                <w:rFonts w:eastAsia="仿宋_GB2312"/>
                <w:kern w:val="0"/>
                <w:sz w:val="20"/>
                <w:szCs w:val="20"/>
              </w:rPr>
            </w:pPr>
          </w:p>
        </w:tc>
        <w:tc>
          <w:tcPr>
            <w:tcW w:w="637" w:type="dxa"/>
            <w:tcBorders>
              <w:top w:val="nil"/>
              <w:left w:val="nil"/>
              <w:bottom w:val="nil"/>
              <w:right w:val="single" w:color="auto" w:sz="4" w:space="0"/>
            </w:tcBorders>
            <w:noWrap w:val="0"/>
            <w:vAlign w:val="center"/>
          </w:tcPr>
          <w:p>
            <w:pPr>
              <w:widowControl/>
              <w:jc w:val="center"/>
              <w:rPr>
                <w:kern w:val="0"/>
                <w:sz w:val="24"/>
              </w:rPr>
            </w:pPr>
            <w:r>
              <w:rPr>
                <w:rFonts w:hint="eastAsia"/>
                <w:kern w:val="0"/>
                <w:sz w:val="24"/>
              </w:rPr>
              <w:t>10</w:t>
            </w:r>
          </w:p>
        </w:tc>
      </w:tr>
      <w:tr>
        <w:tblPrEx>
          <w:tblCellMar>
            <w:top w:w="0" w:type="dxa"/>
            <w:left w:w="108" w:type="dxa"/>
            <w:bottom w:w="0" w:type="dxa"/>
            <w:right w:w="108" w:type="dxa"/>
          </w:tblCellMar>
        </w:tblPrEx>
        <w:trPr>
          <w:jc w:val="center"/>
        </w:trPr>
        <w:tc>
          <w:tcPr>
            <w:tcW w:w="518"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仿宋_GB2312"/>
                <w:kern w:val="0"/>
                <w:sz w:val="20"/>
                <w:szCs w:val="20"/>
              </w:rPr>
            </w:pPr>
          </w:p>
        </w:tc>
        <w:tc>
          <w:tcPr>
            <w:tcW w:w="416"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仿宋_GB2312"/>
                <w:kern w:val="0"/>
                <w:sz w:val="20"/>
                <w:szCs w:val="20"/>
              </w:rPr>
            </w:pPr>
          </w:p>
        </w:tc>
        <w:tc>
          <w:tcPr>
            <w:tcW w:w="677"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仿宋_GB2312"/>
                <w:kern w:val="0"/>
                <w:sz w:val="20"/>
                <w:szCs w:val="20"/>
              </w:rPr>
            </w:pPr>
          </w:p>
        </w:tc>
        <w:tc>
          <w:tcPr>
            <w:tcW w:w="416"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eastAsia="仿宋_GB2312"/>
                <w:kern w:val="0"/>
                <w:sz w:val="20"/>
                <w:szCs w:val="20"/>
              </w:rPr>
            </w:pPr>
            <w:r>
              <w:rPr>
                <w:rFonts w:eastAsia="仿宋_GB2312"/>
                <w:kern w:val="0"/>
                <w:sz w:val="18"/>
                <w:szCs w:val="18"/>
              </w:rPr>
              <w:t>12</w:t>
            </w:r>
          </w:p>
        </w:tc>
        <w:tc>
          <w:tcPr>
            <w:tcW w:w="1014" w:type="dxa"/>
            <w:tcBorders>
              <w:top w:val="nil"/>
              <w:left w:val="nil"/>
              <w:bottom w:val="single" w:color="auto" w:sz="4" w:space="0"/>
              <w:right w:val="single" w:color="auto" w:sz="4" w:space="0"/>
            </w:tcBorders>
            <w:noWrap w:val="0"/>
            <w:vAlign w:val="center"/>
          </w:tcPr>
          <w:p>
            <w:pPr>
              <w:widowControl/>
              <w:jc w:val="left"/>
              <w:rPr>
                <w:rFonts w:eastAsia="仿宋_GB2312"/>
                <w:kern w:val="0"/>
                <w:sz w:val="20"/>
                <w:szCs w:val="20"/>
              </w:rPr>
            </w:pPr>
            <w:r>
              <w:rPr>
                <w:rFonts w:eastAsia="仿宋_GB2312"/>
                <w:kern w:val="0"/>
                <w:sz w:val="20"/>
                <w:szCs w:val="20"/>
              </w:rPr>
              <w:t>行政效能</w:t>
            </w:r>
          </w:p>
        </w:tc>
        <w:tc>
          <w:tcPr>
            <w:tcW w:w="416" w:type="dxa"/>
            <w:tcBorders>
              <w:top w:val="single" w:color="auto" w:sz="4" w:space="0"/>
              <w:left w:val="nil"/>
              <w:bottom w:val="single" w:color="auto" w:sz="4" w:space="0"/>
              <w:right w:val="single" w:color="auto" w:sz="4" w:space="0"/>
            </w:tcBorders>
            <w:noWrap w:val="0"/>
            <w:vAlign w:val="center"/>
          </w:tcPr>
          <w:p>
            <w:pPr>
              <w:widowControl/>
              <w:jc w:val="center"/>
              <w:rPr>
                <w:rFonts w:eastAsia="仿宋_GB2312"/>
                <w:kern w:val="0"/>
                <w:sz w:val="20"/>
                <w:szCs w:val="20"/>
              </w:rPr>
            </w:pPr>
            <w:r>
              <w:rPr>
                <w:rFonts w:eastAsia="仿宋_GB2312"/>
                <w:kern w:val="0"/>
                <w:sz w:val="20"/>
                <w:szCs w:val="20"/>
              </w:rPr>
              <w:t>6</w:t>
            </w:r>
          </w:p>
        </w:tc>
        <w:tc>
          <w:tcPr>
            <w:tcW w:w="3016" w:type="dxa"/>
            <w:tcBorders>
              <w:top w:val="single" w:color="auto" w:sz="4" w:space="0"/>
              <w:left w:val="nil"/>
              <w:bottom w:val="single" w:color="auto" w:sz="4" w:space="0"/>
              <w:right w:val="single" w:color="auto" w:sz="4" w:space="0"/>
            </w:tcBorders>
            <w:noWrap w:val="0"/>
            <w:vAlign w:val="center"/>
          </w:tcPr>
          <w:p>
            <w:pPr>
              <w:widowControl/>
              <w:jc w:val="left"/>
              <w:rPr>
                <w:rFonts w:eastAsia="仿宋_GB2312"/>
                <w:kern w:val="0"/>
                <w:sz w:val="20"/>
                <w:szCs w:val="20"/>
              </w:rPr>
            </w:pPr>
            <w:r>
              <w:rPr>
                <w:rFonts w:eastAsia="仿宋_GB2312"/>
                <w:kern w:val="0"/>
                <w:sz w:val="20"/>
                <w:szCs w:val="20"/>
              </w:rPr>
              <w:t>促进部门改进文风会风，加强经费及资产管理，推动网上办事，提高行政效率，降低行政成本效果较好的计6分；一般3分；无效果或者效果不明显0分。</w:t>
            </w:r>
          </w:p>
        </w:tc>
        <w:tc>
          <w:tcPr>
            <w:tcW w:w="3490" w:type="dxa"/>
            <w:tcBorders>
              <w:top w:val="single" w:color="auto" w:sz="4" w:space="0"/>
              <w:left w:val="nil"/>
              <w:bottom w:val="single" w:color="auto" w:sz="4" w:space="0"/>
              <w:right w:val="single" w:color="auto" w:sz="4" w:space="0"/>
            </w:tcBorders>
            <w:noWrap w:val="0"/>
            <w:vAlign w:val="center"/>
          </w:tcPr>
          <w:p>
            <w:pPr>
              <w:widowControl/>
              <w:jc w:val="left"/>
              <w:rPr>
                <w:rFonts w:eastAsia="仿宋_GB2312"/>
                <w:kern w:val="0"/>
                <w:sz w:val="20"/>
                <w:szCs w:val="20"/>
              </w:rPr>
            </w:pPr>
            <w:r>
              <w:rPr>
                <w:rFonts w:eastAsia="仿宋_GB2312"/>
                <w:kern w:val="0"/>
                <w:sz w:val="20"/>
                <w:szCs w:val="20"/>
              </w:rPr>
              <w:t>根据部门自评材料评定。</w:t>
            </w:r>
          </w:p>
        </w:tc>
        <w:tc>
          <w:tcPr>
            <w:tcW w:w="637" w:type="dxa"/>
            <w:tcBorders>
              <w:top w:val="single" w:color="auto" w:sz="4" w:space="0"/>
              <w:left w:val="nil"/>
              <w:bottom w:val="single" w:color="auto" w:sz="4" w:space="0"/>
              <w:right w:val="single" w:color="auto" w:sz="4" w:space="0"/>
            </w:tcBorders>
            <w:noWrap w:val="0"/>
            <w:vAlign w:val="center"/>
          </w:tcPr>
          <w:p>
            <w:pPr>
              <w:widowControl/>
              <w:jc w:val="center"/>
              <w:rPr>
                <w:kern w:val="0"/>
                <w:sz w:val="24"/>
              </w:rPr>
            </w:pPr>
            <w:r>
              <w:rPr>
                <w:rFonts w:hint="eastAsia"/>
                <w:kern w:val="0"/>
                <w:sz w:val="24"/>
              </w:rPr>
              <w:t>3</w:t>
            </w:r>
          </w:p>
        </w:tc>
      </w:tr>
      <w:tr>
        <w:tblPrEx>
          <w:tblCellMar>
            <w:top w:w="0" w:type="dxa"/>
            <w:left w:w="108" w:type="dxa"/>
            <w:bottom w:w="0" w:type="dxa"/>
            <w:right w:w="108" w:type="dxa"/>
          </w:tblCellMar>
        </w:tblPrEx>
        <w:trPr>
          <w:trHeight w:val="691" w:hRule="atLeast"/>
          <w:jc w:val="center"/>
        </w:trPr>
        <w:tc>
          <w:tcPr>
            <w:tcW w:w="518"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仿宋_GB2312"/>
                <w:kern w:val="0"/>
                <w:sz w:val="20"/>
                <w:szCs w:val="20"/>
              </w:rPr>
            </w:pPr>
          </w:p>
        </w:tc>
        <w:tc>
          <w:tcPr>
            <w:tcW w:w="416"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仿宋_GB2312"/>
                <w:kern w:val="0"/>
                <w:sz w:val="20"/>
                <w:szCs w:val="20"/>
              </w:rPr>
            </w:pPr>
          </w:p>
        </w:tc>
        <w:tc>
          <w:tcPr>
            <w:tcW w:w="677"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仿宋_GB2312"/>
                <w:kern w:val="0"/>
                <w:sz w:val="20"/>
                <w:szCs w:val="20"/>
              </w:rPr>
            </w:pPr>
          </w:p>
        </w:tc>
        <w:tc>
          <w:tcPr>
            <w:tcW w:w="416"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eastAsia="仿宋_GB2312"/>
                <w:kern w:val="0"/>
                <w:sz w:val="20"/>
                <w:szCs w:val="20"/>
              </w:rPr>
            </w:pPr>
          </w:p>
        </w:tc>
        <w:tc>
          <w:tcPr>
            <w:tcW w:w="1014" w:type="dxa"/>
            <w:tcBorders>
              <w:top w:val="nil"/>
              <w:left w:val="nil"/>
              <w:bottom w:val="single" w:color="auto" w:sz="4" w:space="0"/>
              <w:right w:val="single" w:color="auto" w:sz="4" w:space="0"/>
            </w:tcBorders>
            <w:noWrap w:val="0"/>
            <w:vAlign w:val="center"/>
          </w:tcPr>
          <w:p>
            <w:pPr>
              <w:widowControl/>
              <w:jc w:val="left"/>
              <w:rPr>
                <w:rFonts w:eastAsia="仿宋_GB2312"/>
                <w:kern w:val="0"/>
                <w:sz w:val="20"/>
                <w:szCs w:val="20"/>
              </w:rPr>
            </w:pPr>
            <w:r>
              <w:rPr>
                <w:rFonts w:eastAsia="仿宋_GB2312"/>
                <w:kern w:val="0"/>
                <w:sz w:val="20"/>
                <w:szCs w:val="20"/>
              </w:rPr>
              <w:t>社会公众或服务对象满意度</w:t>
            </w:r>
          </w:p>
        </w:tc>
        <w:tc>
          <w:tcPr>
            <w:tcW w:w="416" w:type="dxa"/>
            <w:tcBorders>
              <w:top w:val="nil"/>
              <w:left w:val="nil"/>
              <w:bottom w:val="single" w:color="auto" w:sz="4" w:space="0"/>
              <w:right w:val="single" w:color="auto" w:sz="4" w:space="0"/>
            </w:tcBorders>
            <w:noWrap w:val="0"/>
            <w:vAlign w:val="center"/>
          </w:tcPr>
          <w:p>
            <w:pPr>
              <w:widowControl/>
              <w:jc w:val="center"/>
              <w:rPr>
                <w:rFonts w:eastAsia="仿宋_GB2312"/>
                <w:kern w:val="0"/>
                <w:sz w:val="20"/>
                <w:szCs w:val="20"/>
              </w:rPr>
            </w:pPr>
            <w:r>
              <w:rPr>
                <w:rFonts w:eastAsia="仿宋_GB2312"/>
                <w:kern w:val="0"/>
                <w:sz w:val="20"/>
                <w:szCs w:val="20"/>
              </w:rPr>
              <w:t>6</w:t>
            </w:r>
          </w:p>
        </w:tc>
        <w:tc>
          <w:tcPr>
            <w:tcW w:w="3016" w:type="dxa"/>
            <w:tcBorders>
              <w:top w:val="nil"/>
              <w:left w:val="nil"/>
              <w:bottom w:val="single" w:color="auto" w:sz="4" w:space="0"/>
              <w:right w:val="single" w:color="auto" w:sz="4" w:space="0"/>
            </w:tcBorders>
            <w:noWrap w:val="0"/>
            <w:vAlign w:val="center"/>
          </w:tcPr>
          <w:p>
            <w:pPr>
              <w:widowControl/>
              <w:jc w:val="left"/>
              <w:rPr>
                <w:rFonts w:eastAsia="仿宋_GB2312"/>
                <w:kern w:val="0"/>
                <w:sz w:val="20"/>
                <w:szCs w:val="20"/>
              </w:rPr>
            </w:pPr>
            <w:r>
              <w:rPr>
                <w:rFonts w:eastAsia="仿宋_GB2312"/>
                <w:kern w:val="0"/>
                <w:sz w:val="20"/>
                <w:szCs w:val="20"/>
              </w:rPr>
              <w:t>90%（含）以上计6分；</w:t>
            </w:r>
            <w:r>
              <w:rPr>
                <w:rFonts w:eastAsia="仿宋_GB2312"/>
                <w:kern w:val="0"/>
                <w:sz w:val="20"/>
                <w:szCs w:val="20"/>
              </w:rPr>
              <w:br w:type="textWrapping"/>
            </w:r>
            <w:r>
              <w:rPr>
                <w:rFonts w:eastAsia="仿宋_GB2312"/>
                <w:kern w:val="0"/>
                <w:sz w:val="20"/>
                <w:szCs w:val="20"/>
              </w:rPr>
              <w:t>80%（含）-90%，计4分；</w:t>
            </w:r>
            <w:r>
              <w:rPr>
                <w:rFonts w:eastAsia="仿宋_GB2312"/>
                <w:kern w:val="0"/>
                <w:sz w:val="20"/>
                <w:szCs w:val="20"/>
              </w:rPr>
              <w:br w:type="textWrapping"/>
            </w:r>
            <w:r>
              <w:rPr>
                <w:rFonts w:eastAsia="仿宋_GB2312"/>
                <w:kern w:val="0"/>
                <w:sz w:val="20"/>
                <w:szCs w:val="20"/>
              </w:rPr>
              <w:t>70%（含）-80%，计2分；</w:t>
            </w:r>
            <w:r>
              <w:rPr>
                <w:rFonts w:eastAsia="仿宋_GB2312"/>
                <w:kern w:val="0"/>
                <w:sz w:val="20"/>
                <w:szCs w:val="20"/>
              </w:rPr>
              <w:br w:type="textWrapping"/>
            </w:r>
            <w:r>
              <w:rPr>
                <w:rFonts w:eastAsia="仿宋_GB2312"/>
                <w:kern w:val="0"/>
                <w:sz w:val="20"/>
                <w:szCs w:val="20"/>
              </w:rPr>
              <w:t>低于70%计0分。</w:t>
            </w:r>
          </w:p>
        </w:tc>
        <w:tc>
          <w:tcPr>
            <w:tcW w:w="3490" w:type="dxa"/>
            <w:tcBorders>
              <w:top w:val="nil"/>
              <w:left w:val="nil"/>
              <w:bottom w:val="single" w:color="auto" w:sz="4" w:space="0"/>
              <w:right w:val="single" w:color="auto" w:sz="4" w:space="0"/>
            </w:tcBorders>
            <w:noWrap w:val="0"/>
            <w:vAlign w:val="center"/>
          </w:tcPr>
          <w:p>
            <w:pPr>
              <w:widowControl/>
              <w:jc w:val="left"/>
              <w:rPr>
                <w:rFonts w:eastAsia="仿宋_GB2312"/>
                <w:kern w:val="0"/>
                <w:sz w:val="20"/>
                <w:szCs w:val="20"/>
              </w:rPr>
            </w:pPr>
            <w:r>
              <w:rPr>
                <w:rFonts w:eastAsia="仿宋_GB2312"/>
                <w:kern w:val="0"/>
                <w:sz w:val="20"/>
                <w:szCs w:val="20"/>
              </w:rPr>
              <w:t>社会公众或服务对象是指部门（单位）履行职责而影响到的部门、群体或个人，一般采取社会调查的方式。</w:t>
            </w:r>
          </w:p>
        </w:tc>
        <w:tc>
          <w:tcPr>
            <w:tcW w:w="637" w:type="dxa"/>
            <w:tcBorders>
              <w:top w:val="nil"/>
              <w:left w:val="nil"/>
              <w:bottom w:val="single" w:color="auto" w:sz="4" w:space="0"/>
              <w:right w:val="single" w:color="auto" w:sz="4" w:space="0"/>
            </w:tcBorders>
            <w:noWrap w:val="0"/>
            <w:vAlign w:val="center"/>
          </w:tcPr>
          <w:p>
            <w:pPr>
              <w:widowControl/>
              <w:jc w:val="center"/>
              <w:rPr>
                <w:kern w:val="0"/>
                <w:sz w:val="24"/>
              </w:rPr>
            </w:pPr>
            <w:r>
              <w:rPr>
                <w:rFonts w:hint="eastAsia"/>
                <w:kern w:val="0"/>
                <w:sz w:val="24"/>
              </w:rPr>
              <w:t>6</w:t>
            </w:r>
          </w:p>
        </w:tc>
      </w:tr>
    </w:tbl>
    <w:p>
      <w:pPr>
        <w:widowControl/>
        <w:jc w:val="center"/>
        <w:rPr>
          <w:rFonts w:ascii="仿宋_GB2312" w:eastAsia="仿宋_GB2312"/>
          <w:b/>
          <w:bCs/>
          <w:kern w:val="0"/>
          <w:sz w:val="44"/>
          <w:szCs w:val="44"/>
        </w:rPr>
      </w:pPr>
    </w:p>
    <w:p>
      <w:pPr>
        <w:widowControl/>
        <w:jc w:val="center"/>
        <w:rPr>
          <w:rFonts w:ascii="仿宋_GB2312" w:eastAsia="仿宋_GB2312"/>
          <w:b/>
          <w:bCs/>
          <w:kern w:val="0"/>
          <w:sz w:val="44"/>
          <w:szCs w:val="44"/>
        </w:rPr>
      </w:pPr>
    </w:p>
    <w:p>
      <w:pPr>
        <w:widowControl/>
        <w:jc w:val="center"/>
        <w:rPr>
          <w:rFonts w:ascii="仿宋_GB2312" w:eastAsia="仿宋_GB2312"/>
          <w:b/>
          <w:bCs/>
          <w:kern w:val="0"/>
          <w:sz w:val="44"/>
          <w:szCs w:val="44"/>
        </w:rPr>
      </w:pPr>
    </w:p>
    <w:p>
      <w:pPr>
        <w:widowControl/>
        <w:jc w:val="center"/>
        <w:rPr>
          <w:rFonts w:ascii="仿宋_GB2312" w:eastAsia="仿宋_GB2312"/>
          <w:b/>
          <w:bCs/>
          <w:kern w:val="0"/>
          <w:sz w:val="44"/>
          <w:szCs w:val="44"/>
        </w:rPr>
      </w:pPr>
    </w:p>
    <w:p>
      <w:pPr>
        <w:widowControl/>
        <w:jc w:val="center"/>
        <w:rPr>
          <w:rFonts w:ascii="仿宋_GB2312" w:eastAsia="仿宋_GB2312"/>
          <w:b/>
          <w:bCs/>
          <w:kern w:val="0"/>
          <w:sz w:val="44"/>
          <w:szCs w:val="44"/>
        </w:rPr>
      </w:pPr>
    </w:p>
    <w:p>
      <w:pPr>
        <w:widowControl/>
        <w:jc w:val="center"/>
        <w:rPr>
          <w:rFonts w:ascii="仿宋_GB2312" w:eastAsia="仿宋_GB2312"/>
          <w:b/>
          <w:bCs/>
          <w:kern w:val="0"/>
          <w:sz w:val="44"/>
          <w:szCs w:val="44"/>
        </w:rPr>
      </w:pPr>
    </w:p>
    <w:p>
      <w:pPr>
        <w:rPr>
          <w:rFonts w:hint="eastAsia" w:ascii="黑体" w:hAnsi="黑体" w:eastAsia="黑体"/>
          <w:sz w:val="84"/>
          <w:szCs w:val="84"/>
        </w:rPr>
      </w:pPr>
      <w:r>
        <w:rPr>
          <w:rFonts w:hint="eastAsia" w:ascii="黑体" w:hAnsi="黑体" w:eastAsia="黑体"/>
          <w:sz w:val="84"/>
          <w:szCs w:val="84"/>
        </w:rPr>
        <w:br w:type="page"/>
      </w:r>
    </w:p>
    <w:p>
      <w:pPr>
        <w:keepNext w:val="0"/>
        <w:keepLines w:val="0"/>
        <w:pageBreakBefore w:val="0"/>
        <w:widowControl w:val="0"/>
        <w:kinsoku/>
        <w:wordWrap/>
        <w:overflowPunct/>
        <w:topLinePunct w:val="0"/>
        <w:autoSpaceDE/>
        <w:autoSpaceDN/>
        <w:bidi w:val="0"/>
        <w:adjustRightInd/>
        <w:snapToGrid/>
        <w:spacing w:line="1400" w:lineRule="exact"/>
        <w:jc w:val="center"/>
        <w:textAlignment w:val="auto"/>
        <w:rPr>
          <w:rFonts w:hint="eastAsia" w:ascii="黑体" w:hAnsi="黑体" w:eastAsia="黑体"/>
          <w:sz w:val="84"/>
          <w:szCs w:val="84"/>
        </w:rPr>
      </w:pPr>
    </w:p>
    <w:p>
      <w:pPr>
        <w:keepNext w:val="0"/>
        <w:keepLines w:val="0"/>
        <w:pageBreakBefore w:val="0"/>
        <w:widowControl w:val="0"/>
        <w:kinsoku/>
        <w:wordWrap/>
        <w:overflowPunct/>
        <w:topLinePunct w:val="0"/>
        <w:autoSpaceDE/>
        <w:autoSpaceDN/>
        <w:bidi w:val="0"/>
        <w:adjustRightInd/>
        <w:snapToGrid/>
        <w:spacing w:line="1400" w:lineRule="exact"/>
        <w:jc w:val="center"/>
        <w:textAlignment w:val="auto"/>
        <w:rPr>
          <w:rFonts w:hint="eastAsia" w:ascii="黑体" w:hAnsi="黑体" w:eastAsia="黑体"/>
          <w:sz w:val="84"/>
          <w:szCs w:val="84"/>
        </w:rPr>
      </w:pPr>
    </w:p>
    <w:p>
      <w:pPr>
        <w:keepNext w:val="0"/>
        <w:keepLines w:val="0"/>
        <w:pageBreakBefore w:val="0"/>
        <w:widowControl w:val="0"/>
        <w:kinsoku/>
        <w:wordWrap/>
        <w:overflowPunct/>
        <w:topLinePunct w:val="0"/>
        <w:autoSpaceDE/>
        <w:autoSpaceDN/>
        <w:bidi w:val="0"/>
        <w:adjustRightInd/>
        <w:snapToGrid/>
        <w:spacing w:line="1400" w:lineRule="exact"/>
        <w:jc w:val="center"/>
        <w:textAlignment w:val="auto"/>
        <w:rPr>
          <w:rFonts w:hint="eastAsia" w:ascii="黑体" w:hAnsi="黑体" w:eastAsia="黑体"/>
          <w:sz w:val="84"/>
          <w:szCs w:val="84"/>
        </w:rPr>
      </w:pPr>
    </w:p>
    <w:p>
      <w:pPr>
        <w:jc w:val="center"/>
        <w:rPr>
          <w:rFonts w:ascii="黑体" w:hAnsi="黑体" w:eastAsia="黑体"/>
          <w:sz w:val="84"/>
          <w:szCs w:val="84"/>
        </w:rPr>
      </w:pPr>
      <w:r>
        <w:rPr>
          <w:rFonts w:hint="eastAsia" w:ascii="黑体" w:hAnsi="黑体" w:eastAsia="黑体"/>
          <w:sz w:val="84"/>
          <w:szCs w:val="84"/>
        </w:rPr>
        <w:t>第</w:t>
      </w:r>
      <w:r>
        <w:rPr>
          <w:rFonts w:hint="eastAsia" w:ascii="黑体" w:hAnsi="黑体" w:eastAsia="黑体"/>
          <w:sz w:val="84"/>
          <w:szCs w:val="84"/>
          <w:lang w:eastAsia="zh-CN"/>
        </w:rPr>
        <w:t>六</w:t>
      </w:r>
      <w:r>
        <w:rPr>
          <w:rFonts w:hint="eastAsia" w:ascii="黑体" w:hAnsi="黑体" w:eastAsia="黑体"/>
          <w:sz w:val="84"/>
          <w:szCs w:val="84"/>
        </w:rPr>
        <w:t>部分</w:t>
      </w:r>
    </w:p>
    <w:p>
      <w:pPr>
        <w:jc w:val="center"/>
        <w:rPr>
          <w:rFonts w:hint="eastAsia" w:ascii="黑体" w:hAnsi="黑体" w:eastAsia="黑体"/>
          <w:sz w:val="84"/>
          <w:szCs w:val="84"/>
          <w:lang w:val="en-US" w:eastAsia="zh-CN"/>
        </w:rPr>
      </w:pPr>
      <w:r>
        <w:rPr>
          <w:rFonts w:hint="eastAsia" w:ascii="黑体" w:hAnsi="黑体" w:eastAsia="黑体"/>
          <w:sz w:val="84"/>
          <w:szCs w:val="84"/>
          <w:lang w:val="en-US" w:eastAsia="zh-CN"/>
        </w:rPr>
        <w:t>2018年度部门项目支出绩效评价报告</w:t>
      </w:r>
    </w:p>
    <w:p>
      <w:pPr>
        <w:jc w:val="center"/>
        <w:rPr>
          <w:rFonts w:hint="eastAsia" w:ascii="黑体" w:hAnsi="黑体" w:eastAsia="黑体"/>
          <w:sz w:val="84"/>
          <w:szCs w:val="84"/>
          <w:lang w:val="en-US" w:eastAsia="zh-CN"/>
        </w:rPr>
      </w:pPr>
    </w:p>
    <w:p>
      <w:pPr>
        <w:jc w:val="center"/>
        <w:rPr>
          <w:rFonts w:hint="eastAsia" w:ascii="黑体" w:hAnsi="黑体" w:eastAsia="黑体"/>
          <w:sz w:val="84"/>
          <w:szCs w:val="84"/>
          <w:lang w:val="en-US" w:eastAsia="zh-CN"/>
        </w:rPr>
      </w:pPr>
    </w:p>
    <w:p>
      <w:pPr>
        <w:jc w:val="center"/>
        <w:rPr>
          <w:rFonts w:hint="eastAsia" w:ascii="黑体" w:hAnsi="黑体" w:eastAsia="黑体"/>
          <w:sz w:val="84"/>
          <w:szCs w:val="84"/>
          <w:lang w:val="en-US" w:eastAsia="zh-CN"/>
        </w:rPr>
      </w:pPr>
    </w:p>
    <w:p>
      <w:pPr>
        <w:jc w:val="both"/>
        <w:rPr>
          <w:rFonts w:hint="eastAsia" w:ascii="黑体" w:hAnsi="黑体" w:eastAsia="黑体"/>
          <w:sz w:val="84"/>
          <w:szCs w:val="84"/>
          <w:lang w:val="en-US" w:eastAsia="zh-CN"/>
        </w:rPr>
      </w:pPr>
    </w:p>
    <w:p>
      <w:pPr>
        <w:rPr>
          <w:rFonts w:hint="eastAsia" w:ascii="宋体" w:hAnsi="宋体" w:cs="宋体"/>
          <w:b/>
          <w:bCs/>
          <w:sz w:val="44"/>
          <w:szCs w:val="44"/>
        </w:rPr>
      </w:pPr>
      <w:r>
        <w:rPr>
          <w:rFonts w:hint="eastAsia" w:ascii="宋体" w:hAnsi="宋体" w:cs="宋体"/>
          <w:b/>
          <w:bCs/>
          <w:sz w:val="44"/>
          <w:szCs w:val="44"/>
        </w:rPr>
        <w:br w:type="page"/>
      </w:r>
    </w:p>
    <w:p>
      <w:pPr>
        <w:adjustRightInd w:val="0"/>
        <w:snapToGrid w:val="0"/>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永州市文学艺术界联合会专项</w:t>
      </w:r>
    </w:p>
    <w:p>
      <w:pPr>
        <w:adjustRightInd w:val="0"/>
        <w:snapToGrid w:val="0"/>
        <w:jc w:val="center"/>
        <w:rPr>
          <w:rFonts w:ascii="宋体" w:hAnsi="宋体" w:cs="宋体"/>
          <w:b/>
          <w:bCs/>
          <w:sz w:val="44"/>
          <w:szCs w:val="44"/>
        </w:rPr>
      </w:pPr>
      <w:r>
        <w:rPr>
          <w:rFonts w:hint="eastAsia" w:ascii="方正小标宋简体" w:hAnsi="方正小标宋简体" w:eastAsia="方正小标宋简体" w:cs="方正小标宋简体"/>
          <w:b w:val="0"/>
          <w:bCs w:val="0"/>
          <w:sz w:val="44"/>
          <w:szCs w:val="44"/>
        </w:rPr>
        <w:t>2018年度绩效自评报告</w:t>
      </w:r>
    </w:p>
    <w:p>
      <w:pPr>
        <w:adjustRightInd w:val="0"/>
        <w:snapToGrid w:val="0"/>
        <w:jc w:val="center"/>
        <w:rPr>
          <w:rFonts w:ascii="宋体" w:hAnsi="宋体" w:cs="宋体"/>
          <w:b/>
          <w:bCs/>
          <w:sz w:val="30"/>
          <w:szCs w:val="30"/>
        </w:rPr>
      </w:pPr>
    </w:p>
    <w:p>
      <w:pPr>
        <w:pStyle w:val="2"/>
        <w:pageBreakBefore w:val="0"/>
        <w:widowControl w:val="0"/>
        <w:kinsoku/>
        <w:wordWrap/>
        <w:overflowPunct/>
        <w:topLinePunct w:val="0"/>
        <w:autoSpaceDE/>
        <w:autoSpaceDN/>
        <w:bidi w:val="0"/>
        <w:adjustRightInd w:val="0"/>
        <w:snapToGrid w:val="0"/>
        <w:spacing w:before="0" w:after="0" w:line="60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一、项目情况</w:t>
      </w:r>
    </w:p>
    <w:p>
      <w:pPr>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ascii="宋体" w:hAnsi="宋体" w:cs="宋体"/>
          <w:sz w:val="32"/>
          <w:szCs w:val="32"/>
        </w:rPr>
      </w:pPr>
      <w:r>
        <w:rPr>
          <w:rFonts w:hint="eastAsia" w:ascii="宋体" w:hAnsi="宋体" w:cs="宋体"/>
          <w:sz w:val="32"/>
          <w:szCs w:val="32"/>
        </w:rPr>
        <w:t>永州市文学艺术界联合会有一个专项资金，即重大文艺活动和《潇湘》杂志以及文艺家协会考核。</w:t>
      </w:r>
    </w:p>
    <w:p>
      <w:pPr>
        <w:pageBreakBefore w:val="0"/>
        <w:widowControl w:val="0"/>
        <w:kinsoku/>
        <w:wordWrap/>
        <w:overflowPunct/>
        <w:topLinePunct w:val="0"/>
        <w:autoSpaceDE/>
        <w:autoSpaceDN/>
        <w:bidi w:val="0"/>
        <w:adjustRightInd w:val="0"/>
        <w:snapToGrid w:val="0"/>
        <w:spacing w:line="600" w:lineRule="exact"/>
        <w:ind w:firstLine="643" w:firstLineChars="200"/>
        <w:textAlignment w:val="auto"/>
        <w:outlineLvl w:val="1"/>
        <w:rPr>
          <w:rFonts w:ascii="宋体" w:hAnsi="宋体" w:cs="宋体"/>
          <w:b/>
          <w:bCs/>
          <w:sz w:val="32"/>
          <w:szCs w:val="32"/>
        </w:rPr>
      </w:pPr>
      <w:r>
        <w:rPr>
          <w:rFonts w:hint="eastAsia" w:ascii="宋体" w:hAnsi="宋体" w:cs="宋体"/>
          <w:b/>
          <w:bCs/>
          <w:sz w:val="32"/>
          <w:szCs w:val="32"/>
        </w:rPr>
        <w:t>（一）下达专项预算和绩效目标情况</w:t>
      </w:r>
    </w:p>
    <w:p>
      <w:pPr>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ascii="宋体" w:hAnsi="宋体" w:cs="宋体"/>
          <w:sz w:val="32"/>
          <w:szCs w:val="32"/>
        </w:rPr>
      </w:pPr>
      <w:r>
        <w:rPr>
          <w:rFonts w:hint="eastAsia" w:ascii="宋体" w:hAnsi="宋体" w:cs="宋体"/>
          <w:sz w:val="32"/>
          <w:szCs w:val="32"/>
        </w:rPr>
        <w:t>1、年初预算收支情况</w:t>
      </w:r>
    </w:p>
    <w:p>
      <w:pPr>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ascii="宋体" w:hAnsi="宋体" w:cs="宋体"/>
          <w:sz w:val="32"/>
          <w:szCs w:val="32"/>
        </w:rPr>
      </w:pPr>
      <w:r>
        <w:rPr>
          <w:rFonts w:hint="eastAsia" w:ascii="宋体" w:hAnsi="宋体" w:cs="宋体"/>
          <w:sz w:val="32"/>
          <w:szCs w:val="32"/>
        </w:rPr>
        <w:t>根据市文联提供的预算申报资料，2018年度市文联预算收支情况如下表：</w:t>
      </w:r>
    </w:p>
    <w:tbl>
      <w:tblPr>
        <w:tblStyle w:val="9"/>
        <w:tblW w:w="8500" w:type="dxa"/>
        <w:jc w:val="center"/>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2670"/>
        <w:gridCol w:w="2042"/>
        <w:gridCol w:w="1984"/>
        <w:gridCol w:w="1804"/>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84" w:hRule="exact"/>
          <w:tblHeader/>
          <w:jc w:val="center"/>
        </w:trPr>
        <w:tc>
          <w:tcPr>
            <w:tcW w:w="2670" w:type="dxa"/>
            <w:vAlign w:val="center"/>
          </w:tcPr>
          <w:p>
            <w:pPr>
              <w:adjustRightInd w:val="0"/>
              <w:snapToGrid w:val="0"/>
              <w:jc w:val="center"/>
              <w:rPr>
                <w:rFonts w:ascii="宋体" w:hAnsi="宋体" w:cs="宋体"/>
                <w:sz w:val="24"/>
              </w:rPr>
            </w:pPr>
            <w:r>
              <w:rPr>
                <w:rFonts w:hint="eastAsia" w:ascii="宋体" w:hAnsi="宋体" w:cs="宋体"/>
                <w:sz w:val="24"/>
              </w:rPr>
              <w:t>预算项目</w:t>
            </w:r>
          </w:p>
        </w:tc>
        <w:tc>
          <w:tcPr>
            <w:tcW w:w="2042" w:type="dxa"/>
            <w:vAlign w:val="center"/>
          </w:tcPr>
          <w:p>
            <w:pPr>
              <w:adjustRightInd w:val="0"/>
              <w:snapToGrid w:val="0"/>
              <w:jc w:val="center"/>
              <w:rPr>
                <w:rFonts w:ascii="宋体" w:hAnsi="宋体" w:cs="宋体"/>
                <w:sz w:val="24"/>
              </w:rPr>
            </w:pPr>
            <w:r>
              <w:rPr>
                <w:rFonts w:hint="eastAsia" w:ascii="宋体" w:hAnsi="宋体" w:cs="宋体"/>
                <w:sz w:val="24"/>
              </w:rPr>
              <w:t>金额（万元）</w:t>
            </w:r>
          </w:p>
        </w:tc>
        <w:tc>
          <w:tcPr>
            <w:tcW w:w="1984" w:type="dxa"/>
            <w:vAlign w:val="center"/>
          </w:tcPr>
          <w:p>
            <w:pPr>
              <w:adjustRightInd w:val="0"/>
              <w:snapToGrid w:val="0"/>
              <w:jc w:val="center"/>
              <w:rPr>
                <w:rFonts w:ascii="宋体" w:hAnsi="宋体" w:cs="宋体"/>
                <w:sz w:val="24"/>
              </w:rPr>
            </w:pPr>
            <w:r>
              <w:rPr>
                <w:rFonts w:hint="eastAsia" w:ascii="宋体" w:hAnsi="宋体" w:cs="宋体"/>
                <w:sz w:val="24"/>
              </w:rPr>
              <w:t>项目支出</w:t>
            </w:r>
          </w:p>
        </w:tc>
        <w:tc>
          <w:tcPr>
            <w:tcW w:w="1804" w:type="dxa"/>
            <w:vAlign w:val="center"/>
          </w:tcPr>
          <w:p>
            <w:pPr>
              <w:adjustRightInd w:val="0"/>
              <w:snapToGrid w:val="0"/>
              <w:jc w:val="center"/>
              <w:rPr>
                <w:rFonts w:ascii="宋体" w:hAnsi="宋体" w:cs="宋体"/>
                <w:sz w:val="24"/>
              </w:rPr>
            </w:pPr>
            <w:r>
              <w:rPr>
                <w:rFonts w:hint="eastAsia" w:ascii="宋体" w:hAnsi="宋体" w:cs="宋体"/>
                <w:sz w:val="24"/>
              </w:rPr>
              <w:t>金额 （万元）</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614" w:hRule="exact"/>
          <w:jc w:val="center"/>
        </w:trPr>
        <w:tc>
          <w:tcPr>
            <w:tcW w:w="2670" w:type="dxa"/>
            <w:vAlign w:val="center"/>
          </w:tcPr>
          <w:p>
            <w:pPr>
              <w:adjustRightInd w:val="0"/>
              <w:snapToGrid w:val="0"/>
              <w:jc w:val="center"/>
              <w:rPr>
                <w:rFonts w:ascii="宋体" w:hAnsi="宋体" w:cs="宋体"/>
                <w:sz w:val="24"/>
              </w:rPr>
            </w:pPr>
            <w:r>
              <w:rPr>
                <w:rFonts w:hint="eastAsia" w:ascii="宋体" w:hAnsi="宋体" w:cs="宋体"/>
                <w:sz w:val="24"/>
              </w:rPr>
              <w:t>收入预算</w:t>
            </w:r>
          </w:p>
        </w:tc>
        <w:tc>
          <w:tcPr>
            <w:tcW w:w="2042" w:type="dxa"/>
            <w:vAlign w:val="center"/>
          </w:tcPr>
          <w:p>
            <w:pPr>
              <w:adjustRightInd w:val="0"/>
              <w:snapToGrid w:val="0"/>
              <w:jc w:val="center"/>
              <w:rPr>
                <w:rFonts w:ascii="宋体" w:hAnsi="宋体" w:cs="宋体"/>
                <w:sz w:val="24"/>
              </w:rPr>
            </w:pPr>
            <w:r>
              <w:rPr>
                <w:rFonts w:hint="eastAsia" w:ascii="宋体" w:hAnsi="宋体" w:cs="宋体"/>
                <w:sz w:val="24"/>
              </w:rPr>
              <w:t>60</w:t>
            </w:r>
          </w:p>
        </w:tc>
        <w:tc>
          <w:tcPr>
            <w:tcW w:w="1984" w:type="dxa"/>
            <w:vAlign w:val="center"/>
          </w:tcPr>
          <w:p>
            <w:pPr>
              <w:adjustRightInd w:val="0"/>
              <w:snapToGrid w:val="0"/>
              <w:jc w:val="center"/>
              <w:rPr>
                <w:rFonts w:ascii="宋体" w:hAnsi="宋体" w:cs="宋体"/>
                <w:sz w:val="24"/>
              </w:rPr>
            </w:pPr>
            <w:r>
              <w:rPr>
                <w:rFonts w:hint="eastAsia" w:ascii="宋体" w:hAnsi="宋体" w:cs="宋体"/>
                <w:sz w:val="24"/>
              </w:rPr>
              <w:t>支出预算</w:t>
            </w:r>
          </w:p>
        </w:tc>
        <w:tc>
          <w:tcPr>
            <w:tcW w:w="1804" w:type="dxa"/>
            <w:vAlign w:val="center"/>
          </w:tcPr>
          <w:p>
            <w:pPr>
              <w:adjustRightInd w:val="0"/>
              <w:snapToGrid w:val="0"/>
              <w:jc w:val="center"/>
              <w:rPr>
                <w:rFonts w:ascii="宋体" w:hAnsi="宋体" w:cs="宋体"/>
                <w:sz w:val="24"/>
              </w:rPr>
            </w:pPr>
            <w:r>
              <w:rPr>
                <w:rFonts w:hint="eastAsia" w:ascii="宋体" w:hAnsi="宋体" w:cs="宋体"/>
                <w:sz w:val="24"/>
              </w:rPr>
              <w:t>178.3</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644" w:hRule="exact"/>
          <w:jc w:val="center"/>
        </w:trPr>
        <w:tc>
          <w:tcPr>
            <w:tcW w:w="2670" w:type="dxa"/>
            <w:vMerge w:val="restart"/>
            <w:vAlign w:val="center"/>
          </w:tcPr>
          <w:p>
            <w:pPr>
              <w:adjustRightInd w:val="0"/>
              <w:snapToGrid w:val="0"/>
              <w:jc w:val="center"/>
              <w:rPr>
                <w:rFonts w:ascii="宋体" w:hAnsi="宋体" w:cs="宋体"/>
                <w:sz w:val="24"/>
              </w:rPr>
            </w:pPr>
            <w:r>
              <w:rPr>
                <w:rFonts w:hint="eastAsia" w:ascii="宋体" w:hAnsi="宋体" w:cs="宋体"/>
                <w:sz w:val="24"/>
              </w:rPr>
              <w:t>财政经费追加拨款</w:t>
            </w:r>
          </w:p>
        </w:tc>
        <w:tc>
          <w:tcPr>
            <w:tcW w:w="2042" w:type="dxa"/>
            <w:vMerge w:val="restart"/>
            <w:vAlign w:val="center"/>
          </w:tcPr>
          <w:p>
            <w:pPr>
              <w:adjustRightInd w:val="0"/>
              <w:snapToGrid w:val="0"/>
              <w:jc w:val="center"/>
              <w:rPr>
                <w:rFonts w:ascii="宋体" w:hAnsi="宋体" w:cs="宋体"/>
                <w:sz w:val="24"/>
              </w:rPr>
            </w:pPr>
            <w:r>
              <w:rPr>
                <w:rFonts w:hint="eastAsia" w:ascii="宋体" w:hAnsi="宋体" w:cs="宋体"/>
                <w:sz w:val="24"/>
              </w:rPr>
              <w:t>118.3</w:t>
            </w:r>
          </w:p>
        </w:tc>
        <w:tc>
          <w:tcPr>
            <w:tcW w:w="1984" w:type="dxa"/>
            <w:vAlign w:val="center"/>
          </w:tcPr>
          <w:p>
            <w:pPr>
              <w:adjustRightInd w:val="0"/>
              <w:snapToGrid w:val="0"/>
              <w:jc w:val="center"/>
              <w:rPr>
                <w:rFonts w:ascii="宋体" w:hAnsi="宋体" w:cs="宋体"/>
                <w:sz w:val="24"/>
              </w:rPr>
            </w:pPr>
            <w:r>
              <w:rPr>
                <w:rFonts w:hint="eastAsia" w:ascii="宋体" w:hAnsi="宋体" w:cs="宋体"/>
                <w:sz w:val="24"/>
              </w:rPr>
              <w:t>重大文艺支出</w:t>
            </w:r>
          </w:p>
        </w:tc>
        <w:tc>
          <w:tcPr>
            <w:tcW w:w="1804" w:type="dxa"/>
            <w:vAlign w:val="center"/>
          </w:tcPr>
          <w:p>
            <w:pPr>
              <w:adjustRightInd w:val="0"/>
              <w:snapToGrid w:val="0"/>
              <w:jc w:val="center"/>
              <w:rPr>
                <w:rFonts w:ascii="宋体" w:hAnsi="宋体" w:cs="宋体"/>
                <w:sz w:val="24"/>
              </w:rPr>
            </w:pPr>
            <w:r>
              <w:rPr>
                <w:rFonts w:hint="eastAsia" w:ascii="宋体" w:hAnsi="宋体" w:cs="宋体"/>
                <w:sz w:val="24"/>
              </w:rPr>
              <w:t>105.3</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644" w:hRule="exact"/>
          <w:jc w:val="center"/>
        </w:trPr>
        <w:tc>
          <w:tcPr>
            <w:tcW w:w="2670" w:type="dxa"/>
            <w:vMerge w:val="continue"/>
            <w:vAlign w:val="center"/>
          </w:tcPr>
          <w:p>
            <w:pPr>
              <w:adjustRightInd w:val="0"/>
              <w:snapToGrid w:val="0"/>
              <w:jc w:val="center"/>
              <w:rPr>
                <w:rFonts w:ascii="宋体" w:hAnsi="宋体" w:cs="宋体"/>
                <w:sz w:val="24"/>
              </w:rPr>
            </w:pPr>
          </w:p>
        </w:tc>
        <w:tc>
          <w:tcPr>
            <w:tcW w:w="2042" w:type="dxa"/>
            <w:vMerge w:val="continue"/>
            <w:vAlign w:val="center"/>
          </w:tcPr>
          <w:p>
            <w:pPr>
              <w:adjustRightInd w:val="0"/>
              <w:snapToGrid w:val="0"/>
              <w:jc w:val="center"/>
              <w:rPr>
                <w:rFonts w:ascii="宋体" w:hAnsi="宋体" w:cs="宋体"/>
                <w:sz w:val="24"/>
              </w:rPr>
            </w:pPr>
          </w:p>
        </w:tc>
        <w:tc>
          <w:tcPr>
            <w:tcW w:w="1984" w:type="dxa"/>
            <w:vAlign w:val="center"/>
          </w:tcPr>
          <w:p>
            <w:pPr>
              <w:adjustRightInd w:val="0"/>
              <w:snapToGrid w:val="0"/>
              <w:jc w:val="center"/>
              <w:rPr>
                <w:rFonts w:ascii="宋体" w:hAnsi="宋体" w:cs="宋体"/>
                <w:sz w:val="24"/>
              </w:rPr>
            </w:pPr>
            <w:r>
              <w:rPr>
                <w:rFonts w:hint="eastAsia" w:ascii="宋体" w:hAnsi="宋体" w:cs="宋体"/>
                <w:sz w:val="24"/>
              </w:rPr>
              <w:t>杂志项目支出</w:t>
            </w:r>
          </w:p>
        </w:tc>
        <w:tc>
          <w:tcPr>
            <w:tcW w:w="1804" w:type="dxa"/>
            <w:vAlign w:val="center"/>
          </w:tcPr>
          <w:p>
            <w:pPr>
              <w:adjustRightInd w:val="0"/>
              <w:snapToGrid w:val="0"/>
              <w:jc w:val="center"/>
              <w:rPr>
                <w:rFonts w:ascii="宋体" w:hAnsi="宋体" w:cs="宋体"/>
                <w:sz w:val="24"/>
              </w:rPr>
            </w:pPr>
            <w:r>
              <w:rPr>
                <w:rFonts w:hint="eastAsia" w:ascii="宋体" w:hAnsi="宋体" w:cs="宋体"/>
                <w:sz w:val="24"/>
              </w:rPr>
              <w:t>35</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29" w:hRule="exact"/>
          <w:jc w:val="center"/>
        </w:trPr>
        <w:tc>
          <w:tcPr>
            <w:tcW w:w="2670" w:type="dxa"/>
            <w:vMerge w:val="continue"/>
            <w:vAlign w:val="center"/>
          </w:tcPr>
          <w:p>
            <w:pPr>
              <w:adjustRightInd w:val="0"/>
              <w:snapToGrid w:val="0"/>
              <w:jc w:val="center"/>
              <w:rPr>
                <w:rFonts w:ascii="宋体" w:hAnsi="宋体" w:cs="宋体"/>
                <w:sz w:val="24"/>
              </w:rPr>
            </w:pPr>
          </w:p>
        </w:tc>
        <w:tc>
          <w:tcPr>
            <w:tcW w:w="2042" w:type="dxa"/>
            <w:vMerge w:val="continue"/>
            <w:vAlign w:val="center"/>
          </w:tcPr>
          <w:p>
            <w:pPr>
              <w:adjustRightInd w:val="0"/>
              <w:snapToGrid w:val="0"/>
              <w:jc w:val="center"/>
              <w:rPr>
                <w:rFonts w:ascii="宋体" w:hAnsi="宋体" w:cs="宋体"/>
                <w:sz w:val="24"/>
              </w:rPr>
            </w:pPr>
          </w:p>
        </w:tc>
        <w:tc>
          <w:tcPr>
            <w:tcW w:w="1984" w:type="dxa"/>
            <w:vAlign w:val="center"/>
          </w:tcPr>
          <w:p>
            <w:pPr>
              <w:adjustRightInd w:val="0"/>
              <w:snapToGrid w:val="0"/>
              <w:jc w:val="center"/>
              <w:rPr>
                <w:rFonts w:ascii="宋体" w:hAnsi="宋体" w:cs="宋体"/>
                <w:sz w:val="24"/>
              </w:rPr>
            </w:pPr>
            <w:r>
              <w:rPr>
                <w:rFonts w:hint="eastAsia" w:ascii="宋体" w:hAnsi="宋体" w:cs="宋体"/>
                <w:sz w:val="24"/>
              </w:rPr>
              <w:t>文艺家协会考核</w:t>
            </w:r>
          </w:p>
        </w:tc>
        <w:tc>
          <w:tcPr>
            <w:tcW w:w="1804" w:type="dxa"/>
            <w:vAlign w:val="center"/>
          </w:tcPr>
          <w:p>
            <w:pPr>
              <w:adjustRightInd w:val="0"/>
              <w:snapToGrid w:val="0"/>
              <w:jc w:val="center"/>
              <w:rPr>
                <w:rFonts w:ascii="宋体" w:hAnsi="宋体" w:cs="宋体"/>
                <w:sz w:val="24"/>
              </w:rPr>
            </w:pPr>
            <w:r>
              <w:rPr>
                <w:rFonts w:hint="eastAsia" w:ascii="宋体" w:hAnsi="宋体" w:cs="宋体"/>
                <w:sz w:val="24"/>
              </w:rPr>
              <w:t>38</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654" w:hRule="exact"/>
          <w:jc w:val="center"/>
        </w:trPr>
        <w:tc>
          <w:tcPr>
            <w:tcW w:w="2670" w:type="dxa"/>
            <w:vAlign w:val="center"/>
          </w:tcPr>
          <w:p>
            <w:pPr>
              <w:adjustRightInd w:val="0"/>
              <w:snapToGrid w:val="0"/>
              <w:jc w:val="center"/>
              <w:rPr>
                <w:rFonts w:ascii="宋体" w:hAnsi="宋体" w:cs="宋体"/>
                <w:sz w:val="24"/>
              </w:rPr>
            </w:pPr>
            <w:r>
              <w:rPr>
                <w:rFonts w:hint="eastAsia" w:ascii="宋体" w:hAnsi="宋体" w:cs="宋体"/>
                <w:sz w:val="24"/>
              </w:rPr>
              <w:t>专户非税收入支出</w:t>
            </w:r>
          </w:p>
        </w:tc>
        <w:tc>
          <w:tcPr>
            <w:tcW w:w="2042" w:type="dxa"/>
            <w:vAlign w:val="center"/>
          </w:tcPr>
          <w:p>
            <w:pPr>
              <w:adjustRightInd w:val="0"/>
              <w:snapToGrid w:val="0"/>
              <w:jc w:val="center"/>
              <w:rPr>
                <w:rFonts w:ascii="宋体" w:hAnsi="宋体" w:cs="宋体"/>
                <w:sz w:val="24"/>
              </w:rPr>
            </w:pPr>
            <w:r>
              <w:rPr>
                <w:rFonts w:hint="eastAsia" w:ascii="宋体" w:hAnsi="宋体" w:cs="宋体"/>
                <w:sz w:val="24"/>
              </w:rPr>
              <w:t>0</w:t>
            </w:r>
          </w:p>
        </w:tc>
        <w:tc>
          <w:tcPr>
            <w:tcW w:w="1984" w:type="dxa"/>
            <w:vAlign w:val="center"/>
          </w:tcPr>
          <w:p>
            <w:pPr>
              <w:adjustRightInd w:val="0"/>
              <w:snapToGrid w:val="0"/>
              <w:jc w:val="center"/>
              <w:rPr>
                <w:rFonts w:ascii="宋体" w:hAnsi="宋体" w:cs="宋体"/>
                <w:sz w:val="24"/>
              </w:rPr>
            </w:pPr>
            <w:r>
              <w:rPr>
                <w:rFonts w:hint="eastAsia" w:ascii="宋体" w:hAnsi="宋体" w:cs="宋体"/>
                <w:sz w:val="24"/>
              </w:rPr>
              <w:t>上缴专户</w:t>
            </w:r>
          </w:p>
        </w:tc>
        <w:tc>
          <w:tcPr>
            <w:tcW w:w="1804" w:type="dxa"/>
            <w:vAlign w:val="center"/>
          </w:tcPr>
          <w:p>
            <w:pPr>
              <w:adjustRightInd w:val="0"/>
              <w:snapToGrid w:val="0"/>
              <w:jc w:val="center"/>
              <w:rPr>
                <w:rFonts w:ascii="宋体" w:hAnsi="宋体" w:cs="宋体"/>
                <w:sz w:val="24"/>
              </w:rPr>
            </w:pPr>
            <w:r>
              <w:rPr>
                <w:rFonts w:hint="eastAsia" w:ascii="宋体" w:hAnsi="宋体" w:cs="宋体"/>
                <w:sz w:val="24"/>
              </w:rPr>
              <w:t>0</w:t>
            </w:r>
          </w:p>
        </w:tc>
      </w:tr>
    </w:tbl>
    <w:p>
      <w:pPr>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宋体" w:hAnsi="宋体" w:cs="宋体"/>
          <w:sz w:val="32"/>
          <w:szCs w:val="32"/>
        </w:rPr>
      </w:pPr>
      <w:r>
        <w:rPr>
          <w:rFonts w:hint="eastAsia" w:ascii="宋体" w:hAnsi="宋体" w:cs="宋体"/>
          <w:sz w:val="32"/>
          <w:szCs w:val="32"/>
        </w:rPr>
        <w:t>2、从年初预算绩效目标情况来看，财政经费拨款178.3万元，其中重大文艺支出105.3万元，占59.06%；潇湘杂志项目支出35万元，占19.63%；文艺家协会考核38万元，占21.32%。重大文艺活动群众参与度高，成效显著；《潇湘》杂志圆满完成双月刊出版，刊登150余篇优秀文章；对文艺家协会的考核工作顺利完成，表彰了一批文艺家协会和先进个人。</w:t>
      </w:r>
    </w:p>
    <w:p>
      <w:pPr>
        <w:pStyle w:val="2"/>
        <w:pageBreakBefore w:val="0"/>
        <w:widowControl w:val="0"/>
        <w:kinsoku/>
        <w:wordWrap/>
        <w:overflowPunct/>
        <w:topLinePunct w:val="0"/>
        <w:autoSpaceDE/>
        <w:autoSpaceDN/>
        <w:bidi w:val="0"/>
        <w:adjustRightInd w:val="0"/>
        <w:snapToGrid w:val="0"/>
        <w:spacing w:before="0" w:after="0" w:line="60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二、绩效自评工作开展情况</w:t>
      </w:r>
    </w:p>
    <w:p>
      <w:pPr>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宋体" w:hAnsi="宋体" w:cs="宋体"/>
          <w:bCs/>
          <w:snapToGrid w:val="0"/>
          <w:kern w:val="0"/>
          <w:sz w:val="32"/>
          <w:szCs w:val="32"/>
        </w:rPr>
      </w:pPr>
      <w:r>
        <w:rPr>
          <w:rFonts w:hint="eastAsia" w:ascii="宋体" w:hAnsi="宋体" w:cs="宋体"/>
          <w:bCs/>
          <w:snapToGrid w:val="0"/>
          <w:kern w:val="0"/>
          <w:sz w:val="32"/>
          <w:szCs w:val="32"/>
        </w:rPr>
        <w:t>1、对文联宣传工作及活动经费。开展对文化艺术信息宣传，广泛利用网络、报纸、杂志等媒体方式对永州的文化事业宣传推广，学术上有造诣以及其他四有人才加强沟通，为永州文化艺术的发展寻求广泛途径；严格把控文艺活动开展的会议资料、场地、食宿等费用。</w:t>
      </w:r>
    </w:p>
    <w:p>
      <w:pPr>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宋体" w:hAnsi="宋体" w:cs="宋体"/>
          <w:bCs/>
          <w:snapToGrid w:val="0"/>
          <w:kern w:val="0"/>
          <w:sz w:val="32"/>
          <w:szCs w:val="32"/>
        </w:rPr>
      </w:pPr>
      <w:r>
        <w:rPr>
          <w:rFonts w:hint="eastAsia" w:ascii="宋体" w:hAnsi="宋体" w:cs="宋体"/>
          <w:bCs/>
          <w:snapToGrid w:val="0"/>
          <w:kern w:val="0"/>
          <w:sz w:val="32"/>
          <w:szCs w:val="32"/>
        </w:rPr>
        <w:t>2、</w:t>
      </w:r>
      <w:r>
        <w:rPr>
          <w:rFonts w:hint="eastAsia" w:ascii="宋体" w:hAnsi="宋体" w:cs="宋体"/>
          <w:sz w:val="32"/>
          <w:szCs w:val="32"/>
        </w:rPr>
        <w:t>《潇湘》杂志一年六期的编排和稿费、印刷支出。</w:t>
      </w:r>
    </w:p>
    <w:p>
      <w:pPr>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宋体" w:hAnsi="宋体" w:cs="宋体"/>
          <w:sz w:val="32"/>
          <w:szCs w:val="32"/>
        </w:rPr>
      </w:pPr>
      <w:r>
        <w:rPr>
          <w:rFonts w:hint="eastAsia" w:ascii="宋体" w:hAnsi="宋体" w:cs="宋体"/>
          <w:bCs/>
          <w:snapToGrid w:val="0"/>
          <w:kern w:val="0"/>
          <w:sz w:val="32"/>
          <w:szCs w:val="32"/>
        </w:rPr>
        <w:t xml:space="preserve">3、审稿、调研等文化艺术工作。场地、住宿、酬金等费用；开展文学艺术界社会组织摸底建档工作，并进行动态追踪，组织调研我市文学艺术界社会组织发展状况，为市委、市政府提供决策参考。 </w:t>
      </w:r>
    </w:p>
    <w:p>
      <w:pPr>
        <w:pStyle w:val="2"/>
        <w:pageBreakBefore w:val="0"/>
        <w:widowControl w:val="0"/>
        <w:kinsoku/>
        <w:wordWrap/>
        <w:overflowPunct/>
        <w:topLinePunct w:val="0"/>
        <w:autoSpaceDE/>
        <w:autoSpaceDN/>
        <w:bidi w:val="0"/>
        <w:adjustRightInd w:val="0"/>
        <w:snapToGrid w:val="0"/>
        <w:spacing w:before="0" w:after="0" w:line="60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eastAsia="zh-CN"/>
        </w:rPr>
        <w:t>三、</w:t>
      </w:r>
      <w:r>
        <w:rPr>
          <w:rFonts w:hint="eastAsia" w:ascii="黑体" w:hAnsi="黑体" w:eastAsia="黑体" w:cs="黑体"/>
          <w:b w:val="0"/>
          <w:bCs w:val="0"/>
          <w:sz w:val="32"/>
          <w:szCs w:val="32"/>
        </w:rPr>
        <w:t>综合评价结论</w:t>
      </w:r>
    </w:p>
    <w:p>
      <w:pPr>
        <w:pageBreakBefore w:val="0"/>
        <w:widowControl w:val="0"/>
        <w:kinsoku/>
        <w:wordWrap/>
        <w:overflowPunct/>
        <w:topLinePunct w:val="0"/>
        <w:autoSpaceDE/>
        <w:autoSpaceDN/>
        <w:bidi w:val="0"/>
        <w:adjustRightInd w:val="0"/>
        <w:snapToGrid w:val="0"/>
        <w:spacing w:line="580" w:lineRule="exact"/>
        <w:textAlignment w:val="auto"/>
        <w:rPr>
          <w:rFonts w:ascii="宋体" w:hAnsi="宋体" w:cs="宋体"/>
          <w:sz w:val="32"/>
          <w:szCs w:val="32"/>
        </w:rPr>
      </w:pPr>
      <w:r>
        <w:rPr>
          <w:rFonts w:hint="eastAsia" w:ascii="宋体" w:hAnsi="宋体" w:cs="宋体"/>
          <w:sz w:val="32"/>
          <w:szCs w:val="32"/>
        </w:rPr>
        <w:t>经综合考核自评分为红分96分，圆满完成绩效目标任务。</w:t>
      </w:r>
    </w:p>
    <w:p>
      <w:pPr>
        <w:pStyle w:val="2"/>
        <w:pageBreakBefore w:val="0"/>
        <w:widowControl w:val="0"/>
        <w:kinsoku/>
        <w:wordWrap/>
        <w:overflowPunct/>
        <w:topLinePunct w:val="0"/>
        <w:autoSpaceDE/>
        <w:autoSpaceDN/>
        <w:bidi w:val="0"/>
        <w:adjustRightInd w:val="0"/>
        <w:snapToGrid w:val="0"/>
        <w:spacing w:before="0" w:after="0" w:line="60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eastAsia="zh-CN"/>
        </w:rPr>
        <w:t>四、</w:t>
      </w:r>
      <w:r>
        <w:rPr>
          <w:rFonts w:hint="eastAsia" w:ascii="黑体" w:hAnsi="黑体" w:eastAsia="黑体" w:cs="黑体"/>
          <w:b w:val="0"/>
          <w:bCs w:val="0"/>
          <w:sz w:val="32"/>
          <w:szCs w:val="32"/>
        </w:rPr>
        <w:t>绩效目标实现情况分析</w:t>
      </w:r>
    </w:p>
    <w:p>
      <w:pPr>
        <w:pageBreakBefore w:val="0"/>
        <w:widowControl w:val="0"/>
        <w:numPr>
          <w:ilvl w:val="0"/>
          <w:numId w:val="0"/>
        </w:numPr>
        <w:kinsoku/>
        <w:wordWrap/>
        <w:overflowPunct/>
        <w:topLinePunct w:val="0"/>
        <w:autoSpaceDE/>
        <w:autoSpaceDN/>
        <w:bidi w:val="0"/>
        <w:adjustRightInd w:val="0"/>
        <w:snapToGrid w:val="0"/>
        <w:spacing w:line="580" w:lineRule="exact"/>
        <w:ind w:firstLine="643" w:firstLineChars="200"/>
        <w:textAlignment w:val="auto"/>
        <w:rPr>
          <w:rFonts w:ascii="宋体" w:hAnsi="宋体" w:cs="宋体"/>
          <w:b/>
          <w:bCs/>
          <w:sz w:val="32"/>
          <w:szCs w:val="32"/>
        </w:rPr>
      </w:pPr>
      <w:r>
        <w:rPr>
          <w:rFonts w:hint="eastAsia" w:ascii="宋体" w:hAnsi="宋体" w:cs="宋体"/>
          <w:b/>
          <w:bCs/>
          <w:sz w:val="32"/>
          <w:szCs w:val="32"/>
          <w:lang w:eastAsia="zh-CN"/>
        </w:rPr>
        <w:t>（一）</w:t>
      </w:r>
      <w:r>
        <w:rPr>
          <w:rFonts w:hint="eastAsia" w:ascii="宋体" w:hAnsi="宋体" w:cs="宋体"/>
          <w:b/>
          <w:bCs/>
          <w:sz w:val="32"/>
          <w:szCs w:val="32"/>
        </w:rPr>
        <w:t>项目资金情况分析</w:t>
      </w:r>
    </w:p>
    <w:p>
      <w:pPr>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宋体" w:hAnsi="宋体" w:cs="宋体"/>
          <w:sz w:val="32"/>
          <w:szCs w:val="32"/>
        </w:rPr>
      </w:pPr>
      <w:r>
        <w:rPr>
          <w:rFonts w:hint="eastAsia" w:ascii="宋体" w:hAnsi="宋体" w:cs="宋体"/>
          <w:sz w:val="32"/>
          <w:szCs w:val="32"/>
        </w:rPr>
        <w:t>项目资金如期拨款到位，已按规定合理开支，争取已最少的费用呈现最大的效益和影响。市文联对专项项目制定专项资金管理制度，明确了专项资金用途及审批等要求；但因机构改革后文联的职能增加，举办的活动增多导致专项支付增加；另专项资金设置专帐或二级明细科目核算增多，财务专项资金账目类别有归属不当情况。</w:t>
      </w:r>
    </w:p>
    <w:p>
      <w:pPr>
        <w:pageBreakBefore w:val="0"/>
        <w:widowControl w:val="0"/>
        <w:kinsoku/>
        <w:wordWrap/>
        <w:overflowPunct/>
        <w:topLinePunct w:val="0"/>
        <w:autoSpaceDE/>
        <w:autoSpaceDN/>
        <w:bidi w:val="0"/>
        <w:adjustRightInd w:val="0"/>
        <w:snapToGrid w:val="0"/>
        <w:spacing w:line="580" w:lineRule="exact"/>
        <w:ind w:firstLine="643" w:firstLineChars="200"/>
        <w:textAlignment w:val="auto"/>
        <w:rPr>
          <w:rFonts w:ascii="宋体" w:hAnsi="宋体" w:cs="宋体"/>
          <w:b/>
          <w:bCs/>
          <w:sz w:val="32"/>
          <w:szCs w:val="32"/>
        </w:rPr>
      </w:pPr>
      <w:r>
        <w:rPr>
          <w:rFonts w:hint="eastAsia" w:ascii="宋体" w:hAnsi="宋体" w:cs="宋体"/>
          <w:b/>
          <w:bCs/>
          <w:sz w:val="32"/>
          <w:szCs w:val="32"/>
        </w:rPr>
        <w:t>（二）项目绩效指标完成情况分析</w:t>
      </w:r>
    </w:p>
    <w:p>
      <w:pPr>
        <w:pageBreakBefore w:val="0"/>
        <w:widowControl w:val="0"/>
        <w:kinsoku/>
        <w:wordWrap/>
        <w:overflowPunct/>
        <w:topLinePunct w:val="0"/>
        <w:autoSpaceDE/>
        <w:autoSpaceDN/>
        <w:bidi w:val="0"/>
        <w:adjustRightInd w:val="0"/>
        <w:snapToGrid w:val="0"/>
        <w:spacing w:line="580" w:lineRule="exact"/>
        <w:ind w:firstLine="640" w:firstLineChars="200"/>
        <w:textAlignment w:val="auto"/>
        <w:outlineLvl w:val="1"/>
        <w:rPr>
          <w:rFonts w:ascii="宋体" w:hAnsi="宋体" w:cs="宋体"/>
          <w:sz w:val="32"/>
          <w:szCs w:val="32"/>
        </w:rPr>
      </w:pPr>
      <w:r>
        <w:rPr>
          <w:rFonts w:hint="eastAsia" w:ascii="宋体" w:hAnsi="宋体" w:cs="宋体"/>
          <w:sz w:val="32"/>
          <w:szCs w:val="32"/>
        </w:rPr>
        <w:t>1、经济性评价本年预算配置。财政供养人员控制在预算编制以内，在职人员控制率小于 100%；三公经费预算总额与上年持平，根据湘财预【2013】46号关于严控“三公经费”预算管理的通知，未来5年内，各部门“三公经费”预算原则上不再增加，因此市文联的三公经费预算编制和执行是控制有效的。</w:t>
      </w:r>
    </w:p>
    <w:p>
      <w:pPr>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宋体" w:hAnsi="宋体" w:cs="宋体"/>
          <w:sz w:val="32"/>
          <w:szCs w:val="32"/>
        </w:rPr>
      </w:pPr>
      <w:r>
        <w:rPr>
          <w:rFonts w:hint="eastAsia" w:ascii="宋体" w:hAnsi="宋体" w:cs="宋体"/>
          <w:sz w:val="32"/>
          <w:szCs w:val="32"/>
        </w:rPr>
        <w:t>预算执行方面，支出总额控制在预算总额以内，根据财政预算批复，对财政专项资金追加预算，随财政预算拨款指标文和资金拨付的时间和进度，及时进行了指标的下达和资金的拨付，不存在截留或滞留专项资金情况；预算管理方面管理制度需要完善，制度的执行有待进一步强化，资金使用的合规性有待进一步规范。资产管理方面应细化和完善资产管理制度，财务核算在制度上有待完善、执行上有待提高。</w:t>
      </w:r>
    </w:p>
    <w:p>
      <w:pPr>
        <w:pageBreakBefore w:val="0"/>
        <w:widowControl w:val="0"/>
        <w:kinsoku/>
        <w:wordWrap/>
        <w:overflowPunct/>
        <w:topLinePunct w:val="0"/>
        <w:autoSpaceDE/>
        <w:autoSpaceDN/>
        <w:bidi w:val="0"/>
        <w:adjustRightInd w:val="0"/>
        <w:snapToGrid w:val="0"/>
        <w:spacing w:line="580" w:lineRule="exact"/>
        <w:ind w:firstLine="640" w:firstLineChars="200"/>
        <w:textAlignment w:val="auto"/>
        <w:outlineLvl w:val="1"/>
        <w:rPr>
          <w:rFonts w:ascii="宋体" w:hAnsi="宋体" w:cs="宋体"/>
          <w:sz w:val="32"/>
          <w:szCs w:val="32"/>
        </w:rPr>
      </w:pPr>
      <w:r>
        <w:rPr>
          <w:rFonts w:hint="eastAsia" w:ascii="宋体" w:hAnsi="宋体" w:cs="宋体"/>
          <w:sz w:val="32"/>
          <w:szCs w:val="32"/>
        </w:rPr>
        <w:t>2、效率性评价和有效性评价。2018年市文联的工作总结资料显示，全年策划组织开展“推名家、出名作”大讨论活动，大力推进文艺精品创作；期间组织推出市评论家协会主席郑山明作品《乡愁的滋味》研讨会和永州知名画家刘双全国画精作展览研讨，得到了省内相关专家学者的好评；围绕5·23文艺志愿者服务日，开展系列文艺志愿服务活动。5月29日晚，在祁阳县白竹湖广场举行了“笑满三相——到人民中去”省文艺志愿者走进永州（祁阳）专场演出活动，大雨中为千余名热情观众奉上了一场精彩晚会；承办了湖南省</w:t>
      </w:r>
      <w:r>
        <w:rPr>
          <w:rFonts w:ascii="宋体" w:hAnsi="宋体" w:cs="宋体"/>
          <w:sz w:val="32"/>
          <w:szCs w:val="32"/>
        </w:rPr>
        <w:t>‘</w:t>
      </w:r>
      <w:r>
        <w:rPr>
          <w:rFonts w:hint="eastAsia" w:ascii="宋体" w:hAnsi="宋体" w:cs="宋体"/>
          <w:sz w:val="32"/>
          <w:szCs w:val="32"/>
        </w:rPr>
        <w:t>中国梦·文学梦·湖南篇章</w:t>
      </w:r>
      <w:r>
        <w:rPr>
          <w:rFonts w:ascii="宋体" w:hAnsi="宋体" w:cs="宋体"/>
          <w:sz w:val="32"/>
          <w:szCs w:val="32"/>
        </w:rPr>
        <w:t>’</w:t>
      </w:r>
      <w:r>
        <w:rPr>
          <w:rFonts w:hint="eastAsia" w:ascii="宋体" w:hAnsi="宋体" w:cs="宋体"/>
          <w:sz w:val="32"/>
          <w:szCs w:val="32"/>
        </w:rPr>
        <w:t>文学活动；40余名省内外作家以文学的方式助力推动我市湘江保护和生态文明建设工作；在市委宣传部总揽下，完成了第三届“永州市文艺奖”的评奖颁奖工作；“欢乐潇湘”群众美术、书法、摄影活动群众参与度高，成效显著。建立健全党组会议制度、领导班子民主生活会会议制度、学习中心组理论学习制度、干部职工学习制度、党风廉政制度、考勤、请假制度、调查研究制度、财务管理制度、接待工作制度、车辆管理制度等13个制度，建立工作人员去向牌，各项管理更加规范。</w:t>
      </w:r>
    </w:p>
    <w:p>
      <w:pPr>
        <w:pageBreakBefore w:val="0"/>
        <w:widowControl w:val="0"/>
        <w:kinsoku/>
        <w:wordWrap/>
        <w:overflowPunct/>
        <w:topLinePunct w:val="0"/>
        <w:autoSpaceDE/>
        <w:autoSpaceDN/>
        <w:bidi w:val="0"/>
        <w:adjustRightInd w:val="0"/>
        <w:snapToGrid w:val="0"/>
        <w:spacing w:line="580" w:lineRule="exact"/>
        <w:ind w:firstLine="640" w:firstLineChars="200"/>
        <w:textAlignment w:val="auto"/>
        <w:outlineLvl w:val="1"/>
        <w:rPr>
          <w:rFonts w:ascii="宋体" w:hAnsi="宋体" w:cs="宋体"/>
          <w:sz w:val="32"/>
          <w:szCs w:val="32"/>
        </w:rPr>
      </w:pPr>
      <w:r>
        <w:rPr>
          <w:rFonts w:hint="eastAsia" w:ascii="宋体" w:hAnsi="宋体" w:cs="宋体"/>
          <w:sz w:val="32"/>
          <w:szCs w:val="32"/>
        </w:rPr>
        <w:t>3、2018年社会公众满意度评价。市文联较好的完成了部门的工作任务。对县区文联和各直属文艺家协会的组织管理能力增强，全市文艺作品创作数量和质量都有所提高，《潇湘》杂志的影响力扩大，文艺活动的群众参与度提高，文艺工作的影响力增强，文联在推动全市发展，促进精神文明建设，扩大地方宣传等方面发挥了重要的作用。</w:t>
      </w:r>
    </w:p>
    <w:p>
      <w:pPr>
        <w:pStyle w:val="2"/>
        <w:pageBreakBefore w:val="0"/>
        <w:widowControl w:val="0"/>
        <w:kinsoku/>
        <w:wordWrap/>
        <w:overflowPunct/>
        <w:topLinePunct w:val="0"/>
        <w:autoSpaceDE/>
        <w:autoSpaceDN/>
        <w:bidi w:val="0"/>
        <w:adjustRightInd w:val="0"/>
        <w:snapToGrid w:val="0"/>
        <w:spacing w:before="0" w:after="0" w:line="60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五、绩效目标未完成原因和改进措施</w:t>
      </w:r>
    </w:p>
    <w:p>
      <w:pPr>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宋体" w:hAnsi="宋体" w:cs="宋体"/>
          <w:sz w:val="32"/>
          <w:szCs w:val="32"/>
        </w:rPr>
      </w:pPr>
      <w:r>
        <w:rPr>
          <w:rFonts w:hint="eastAsia" w:ascii="宋体" w:hAnsi="宋体" w:cs="宋体"/>
          <w:sz w:val="32"/>
          <w:szCs w:val="32"/>
        </w:rPr>
        <w:t>从前述的市文联整体支出情况分析反映，在整体支出的预算编制、执行和管理过程中，依然存在一些问题和不足，针对这些不足，市文联将积极采取改进措施，不断规范和强化管理，持续改进。</w:t>
      </w:r>
    </w:p>
    <w:p>
      <w:pPr>
        <w:pStyle w:val="2"/>
        <w:pageBreakBefore w:val="0"/>
        <w:widowControl w:val="0"/>
        <w:kinsoku/>
        <w:wordWrap/>
        <w:overflowPunct/>
        <w:topLinePunct w:val="0"/>
        <w:autoSpaceDE/>
        <w:autoSpaceDN/>
        <w:bidi w:val="0"/>
        <w:adjustRightInd w:val="0"/>
        <w:snapToGrid w:val="0"/>
        <w:spacing w:before="0" w:after="0" w:line="60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六、具体建议</w:t>
      </w:r>
    </w:p>
    <w:p>
      <w:pPr>
        <w:pageBreakBefore w:val="0"/>
        <w:widowControl w:val="0"/>
        <w:kinsoku/>
        <w:wordWrap/>
        <w:overflowPunct/>
        <w:topLinePunct w:val="0"/>
        <w:autoSpaceDE/>
        <w:autoSpaceDN/>
        <w:bidi w:val="0"/>
        <w:adjustRightInd w:val="0"/>
        <w:snapToGrid w:val="0"/>
        <w:spacing w:line="580" w:lineRule="exact"/>
        <w:ind w:firstLine="643" w:firstLineChars="200"/>
        <w:textAlignment w:val="auto"/>
        <w:outlineLvl w:val="1"/>
        <w:rPr>
          <w:rFonts w:ascii="宋体" w:hAnsi="宋体" w:cs="宋体"/>
          <w:b/>
          <w:bCs/>
          <w:sz w:val="32"/>
          <w:szCs w:val="32"/>
        </w:rPr>
      </w:pPr>
      <w:r>
        <w:rPr>
          <w:rFonts w:hint="eastAsia" w:ascii="宋体" w:hAnsi="宋体" w:cs="宋体"/>
          <w:b/>
          <w:bCs/>
          <w:sz w:val="32"/>
          <w:szCs w:val="32"/>
        </w:rPr>
        <w:t>（一）要加强预算管理，严格执行《预算法》。</w:t>
      </w:r>
    </w:p>
    <w:p>
      <w:pPr>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宋体" w:hAnsi="宋体" w:cs="宋体"/>
          <w:sz w:val="32"/>
          <w:szCs w:val="32"/>
        </w:rPr>
      </w:pPr>
      <w:r>
        <w:rPr>
          <w:rFonts w:hint="eastAsia" w:ascii="宋体" w:hAnsi="宋体" w:cs="宋体"/>
          <w:sz w:val="32"/>
          <w:szCs w:val="32"/>
        </w:rPr>
        <w:t>应严格《预算法》执行部门预算，按照人大批复的部门预算和绩效目标的项目和用途使用资金，不得擅自调剂使用。在预算金额内严格控制费用的支出，控制超支现象的发生。对于年度无法预计的临时追加的相关工作所需费用，用其他费用项目结余资金调剂使用或需要追加费用预算的，要按照费用预算调整的报批程序，经批准后才能使用。在费用报账支付时，要严格审核，控制费用跨年度报账，确保费用核算的及时性和完整性；按照费用的实际使用用途进行资金支付和财务列报，严格按照行政事业单位会计制度进行财务核算。</w:t>
      </w:r>
    </w:p>
    <w:p>
      <w:pPr>
        <w:pageBreakBefore w:val="0"/>
        <w:widowControl w:val="0"/>
        <w:kinsoku/>
        <w:wordWrap/>
        <w:overflowPunct/>
        <w:topLinePunct w:val="0"/>
        <w:autoSpaceDE/>
        <w:autoSpaceDN/>
        <w:bidi w:val="0"/>
        <w:adjustRightInd w:val="0"/>
        <w:snapToGrid w:val="0"/>
        <w:spacing w:line="580" w:lineRule="exact"/>
        <w:ind w:firstLine="643" w:firstLineChars="200"/>
        <w:textAlignment w:val="auto"/>
        <w:outlineLvl w:val="1"/>
        <w:rPr>
          <w:rFonts w:ascii="宋体" w:hAnsi="宋体" w:cs="宋体"/>
          <w:b/>
          <w:bCs/>
          <w:sz w:val="32"/>
          <w:szCs w:val="32"/>
        </w:rPr>
      </w:pPr>
      <w:r>
        <w:rPr>
          <w:rFonts w:hint="eastAsia" w:ascii="宋体" w:hAnsi="宋体" w:cs="宋体"/>
          <w:b/>
          <w:bCs/>
          <w:sz w:val="32"/>
          <w:szCs w:val="32"/>
        </w:rPr>
        <w:t>（二）加强项目资金管理，严格规范项目资金使用及审批制度。</w:t>
      </w:r>
    </w:p>
    <w:p>
      <w:pPr>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宋体" w:hAnsi="宋体" w:cs="宋体"/>
          <w:sz w:val="32"/>
          <w:szCs w:val="32"/>
        </w:rPr>
      </w:pPr>
      <w:r>
        <w:rPr>
          <w:rFonts w:hint="eastAsia" w:ascii="宋体" w:hAnsi="宋体" w:cs="宋体"/>
          <w:sz w:val="32"/>
          <w:szCs w:val="32"/>
        </w:rPr>
        <w:t>建立和规范专项资金管理制度，明确专项资金使用范围，严格规范专项资金的审批程序，切实做好专项资金专款专用，严禁专项资金挪作他用。</w:t>
      </w:r>
    </w:p>
    <w:p>
      <w:pPr>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宋体" w:hAnsi="宋体" w:cs="宋体"/>
          <w:sz w:val="32"/>
          <w:szCs w:val="32"/>
        </w:rPr>
      </w:pPr>
      <w:r>
        <w:rPr>
          <w:rFonts w:hint="eastAsia" w:ascii="宋体" w:hAnsi="宋体" w:cs="宋体"/>
          <w:sz w:val="32"/>
          <w:szCs w:val="32"/>
        </w:rPr>
        <w:t>设置专项资金科目进行核算，真实反馈专项资金使用情况，严禁专项资金在项目间自行调剂。</w:t>
      </w:r>
    </w:p>
    <w:p>
      <w:pPr>
        <w:pageBreakBefore w:val="0"/>
        <w:widowControl w:val="0"/>
        <w:kinsoku/>
        <w:wordWrap/>
        <w:overflowPunct/>
        <w:topLinePunct w:val="0"/>
        <w:autoSpaceDE/>
        <w:autoSpaceDN/>
        <w:bidi w:val="0"/>
        <w:adjustRightInd w:val="0"/>
        <w:snapToGrid w:val="0"/>
        <w:spacing w:line="580" w:lineRule="exact"/>
        <w:ind w:firstLine="643" w:firstLineChars="200"/>
        <w:textAlignment w:val="auto"/>
        <w:rPr>
          <w:rFonts w:ascii="宋体" w:hAnsi="宋体" w:cs="宋体"/>
          <w:b/>
          <w:bCs/>
          <w:sz w:val="32"/>
          <w:szCs w:val="32"/>
        </w:rPr>
      </w:pPr>
      <w:r>
        <w:rPr>
          <w:rFonts w:hint="eastAsia" w:ascii="宋体" w:hAnsi="宋体" w:cs="宋体"/>
          <w:b/>
          <w:bCs/>
          <w:sz w:val="32"/>
          <w:szCs w:val="32"/>
        </w:rPr>
        <w:t>（三）有关建议</w:t>
      </w:r>
    </w:p>
    <w:p>
      <w:pPr>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宋体" w:hAnsi="宋体" w:cs="宋体"/>
          <w:sz w:val="32"/>
          <w:szCs w:val="32"/>
        </w:rPr>
      </w:pPr>
      <w:r>
        <w:rPr>
          <w:rFonts w:hint="eastAsia" w:ascii="宋体" w:hAnsi="宋体" w:cs="宋体"/>
          <w:kern w:val="0"/>
          <w:sz w:val="32"/>
          <w:szCs w:val="32"/>
        </w:rPr>
        <w:t>建议财政部门切实加大对预算单位的业务培训和工作指导力度，以全面提升我市预算支出绩效整体水平。</w:t>
      </w:r>
    </w:p>
    <w:p>
      <w:pPr>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宋体" w:hAnsi="宋体" w:cs="宋体"/>
          <w:kern w:val="0"/>
          <w:sz w:val="32"/>
          <w:szCs w:val="32"/>
        </w:rPr>
      </w:pPr>
    </w:p>
    <w:p>
      <w:pPr>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宋体" w:hAnsi="宋体" w:cs="宋体"/>
          <w:kern w:val="0"/>
          <w:sz w:val="32"/>
          <w:szCs w:val="32"/>
        </w:rPr>
      </w:pPr>
      <w:r>
        <w:rPr>
          <w:rFonts w:hint="eastAsia" w:ascii="宋体" w:hAnsi="宋体" w:cs="宋体"/>
          <w:kern w:val="0"/>
          <w:sz w:val="32"/>
          <w:szCs w:val="32"/>
        </w:rPr>
        <w:t>附表1：2018年市文联专项资金绩效评价表</w:t>
      </w:r>
    </w:p>
    <w:p>
      <w:pPr>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宋体" w:hAnsi="宋体" w:cs="宋体"/>
          <w:sz w:val="32"/>
          <w:szCs w:val="32"/>
        </w:rPr>
      </w:pPr>
    </w:p>
    <w:p>
      <w:pPr>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Theme="majorEastAsia" w:hAnsiTheme="majorEastAsia" w:eastAsiaTheme="majorEastAsia" w:cstheme="majorEastAsia"/>
          <w:sz w:val="32"/>
          <w:szCs w:val="32"/>
        </w:rPr>
      </w:pPr>
      <w:r>
        <w:rPr>
          <w:rFonts w:hint="eastAsia" w:ascii="仿宋" w:hAnsi="仿宋" w:eastAsia="仿宋" w:cs="仿宋"/>
          <w:sz w:val="32"/>
          <w:szCs w:val="32"/>
        </w:rPr>
        <w:t xml:space="preserve">                              </w:t>
      </w:r>
      <w:r>
        <w:rPr>
          <w:rFonts w:hint="eastAsia" w:asciiTheme="majorEastAsia" w:hAnsiTheme="majorEastAsia" w:eastAsiaTheme="majorEastAsia" w:cstheme="majorEastAsia"/>
          <w:sz w:val="32"/>
          <w:szCs w:val="32"/>
        </w:rPr>
        <w:t xml:space="preserve"> </w:t>
      </w:r>
    </w:p>
    <w:p>
      <w:pPr>
        <w:widowControl/>
        <w:rPr>
          <w:rFonts w:ascii="黑体" w:hAnsi="宋体" w:eastAsia="黑体" w:cs="宋体"/>
          <w:bCs/>
          <w:kern w:val="0"/>
          <w:sz w:val="28"/>
          <w:szCs w:val="28"/>
        </w:rPr>
      </w:pPr>
    </w:p>
    <w:p>
      <w:pPr>
        <w:widowControl/>
        <w:rPr>
          <w:rFonts w:ascii="黑体" w:hAnsi="宋体" w:eastAsia="黑体" w:cs="宋体"/>
          <w:bCs/>
          <w:kern w:val="0"/>
          <w:sz w:val="28"/>
          <w:szCs w:val="28"/>
        </w:rPr>
      </w:pPr>
    </w:p>
    <w:p>
      <w:pPr>
        <w:widowControl/>
        <w:rPr>
          <w:rFonts w:ascii="黑体" w:hAnsi="宋体" w:eastAsia="黑体" w:cs="宋体"/>
          <w:bCs/>
          <w:kern w:val="0"/>
          <w:sz w:val="28"/>
          <w:szCs w:val="28"/>
        </w:rPr>
      </w:pPr>
    </w:p>
    <w:p>
      <w:pPr>
        <w:widowControl/>
        <w:rPr>
          <w:rFonts w:hint="eastAsia" w:ascii="黑体" w:hAnsi="宋体" w:eastAsia="黑体" w:cs="宋体"/>
          <w:bCs/>
          <w:kern w:val="0"/>
          <w:sz w:val="28"/>
          <w:szCs w:val="28"/>
        </w:rPr>
      </w:pPr>
    </w:p>
    <w:p>
      <w:pPr>
        <w:widowControl/>
        <w:rPr>
          <w:rFonts w:ascii="黑体" w:hAnsi="宋体" w:eastAsia="黑体" w:cs="宋体"/>
          <w:bCs/>
          <w:kern w:val="0"/>
          <w:sz w:val="28"/>
          <w:szCs w:val="28"/>
        </w:rPr>
      </w:pPr>
      <w:r>
        <w:rPr>
          <w:rFonts w:hint="eastAsia" w:ascii="黑体" w:hAnsi="宋体" w:eastAsia="黑体" w:cs="宋体"/>
          <w:bCs/>
          <w:kern w:val="0"/>
          <w:sz w:val="28"/>
          <w:szCs w:val="28"/>
        </w:rPr>
        <w:t>附件1</w:t>
      </w:r>
    </w:p>
    <w:p>
      <w:pPr>
        <w:widowControl/>
        <w:ind w:left="93"/>
        <w:jc w:val="both"/>
        <w:rPr>
          <w:rFonts w:eastAsia="方正小标宋_GBK"/>
          <w:spacing w:val="-6"/>
          <w:kern w:val="0"/>
          <w:sz w:val="44"/>
          <w:szCs w:val="44"/>
        </w:rPr>
      </w:pPr>
      <w:r>
        <w:rPr>
          <w:rFonts w:hint="eastAsia" w:eastAsia="方正小标宋_GBK"/>
          <w:spacing w:val="-6"/>
          <w:kern w:val="0"/>
          <w:sz w:val="44"/>
          <w:szCs w:val="44"/>
        </w:rPr>
        <w:t>市级财政2018年市文联</w:t>
      </w:r>
      <w:r>
        <w:rPr>
          <w:rFonts w:eastAsia="方正小标宋_GBK"/>
          <w:spacing w:val="-6"/>
          <w:kern w:val="0"/>
          <w:sz w:val="44"/>
          <w:szCs w:val="44"/>
        </w:rPr>
        <w:t>专项资金绩效评价表</w:t>
      </w:r>
    </w:p>
    <w:tbl>
      <w:tblPr>
        <w:tblStyle w:val="9"/>
        <w:tblW w:w="10608" w:type="dxa"/>
        <w:jc w:val="center"/>
        <w:tblLayout w:type="fixed"/>
        <w:tblCellMar>
          <w:top w:w="0" w:type="dxa"/>
          <w:left w:w="108" w:type="dxa"/>
          <w:bottom w:w="0" w:type="dxa"/>
          <w:right w:w="108" w:type="dxa"/>
        </w:tblCellMar>
      </w:tblPr>
      <w:tblGrid>
        <w:gridCol w:w="656"/>
        <w:gridCol w:w="710"/>
        <w:gridCol w:w="1275"/>
        <w:gridCol w:w="3080"/>
        <w:gridCol w:w="4363"/>
        <w:gridCol w:w="524"/>
      </w:tblGrid>
      <w:tr>
        <w:tblPrEx>
          <w:tblCellMar>
            <w:top w:w="0" w:type="dxa"/>
            <w:left w:w="108" w:type="dxa"/>
            <w:bottom w:w="0" w:type="dxa"/>
            <w:right w:w="108" w:type="dxa"/>
          </w:tblCellMar>
        </w:tblPrEx>
        <w:trPr>
          <w:tblHeader/>
          <w:jc w:val="center"/>
        </w:trPr>
        <w:tc>
          <w:tcPr>
            <w:tcW w:w="656" w:type="dxa"/>
            <w:tcBorders>
              <w:top w:val="single" w:color="auto" w:sz="4" w:space="0"/>
              <w:left w:val="single" w:color="auto" w:sz="4" w:space="0"/>
              <w:bottom w:val="nil"/>
              <w:right w:val="single" w:color="auto" w:sz="4" w:space="0"/>
            </w:tcBorders>
            <w:vAlign w:val="center"/>
          </w:tcPr>
          <w:p>
            <w:pPr>
              <w:widowControl/>
              <w:jc w:val="center"/>
              <w:rPr>
                <w:rFonts w:eastAsia="仿宋_GB2312"/>
                <w:b/>
                <w:bCs/>
                <w:color w:val="000000"/>
                <w:kern w:val="0"/>
                <w:sz w:val="20"/>
                <w:szCs w:val="20"/>
              </w:rPr>
            </w:pPr>
            <w:r>
              <w:rPr>
                <w:rFonts w:eastAsia="仿宋_GB2312"/>
                <w:b/>
                <w:bCs/>
                <w:color w:val="000000"/>
                <w:kern w:val="0"/>
                <w:sz w:val="20"/>
                <w:szCs w:val="20"/>
              </w:rPr>
              <w:t>一级</w:t>
            </w:r>
          </w:p>
        </w:tc>
        <w:tc>
          <w:tcPr>
            <w:tcW w:w="710" w:type="dxa"/>
            <w:tcBorders>
              <w:top w:val="single" w:color="auto" w:sz="4" w:space="0"/>
              <w:left w:val="nil"/>
              <w:bottom w:val="nil"/>
              <w:right w:val="single" w:color="auto" w:sz="4" w:space="0"/>
            </w:tcBorders>
            <w:vAlign w:val="center"/>
          </w:tcPr>
          <w:p>
            <w:pPr>
              <w:widowControl/>
              <w:jc w:val="center"/>
              <w:rPr>
                <w:rFonts w:eastAsia="仿宋_GB2312"/>
                <w:b/>
                <w:bCs/>
                <w:color w:val="000000"/>
                <w:kern w:val="0"/>
                <w:sz w:val="20"/>
                <w:szCs w:val="20"/>
              </w:rPr>
            </w:pPr>
            <w:r>
              <w:rPr>
                <w:rFonts w:eastAsia="仿宋_GB2312"/>
                <w:b/>
                <w:bCs/>
                <w:color w:val="000000"/>
                <w:kern w:val="0"/>
                <w:sz w:val="20"/>
                <w:szCs w:val="20"/>
              </w:rPr>
              <w:t>二级</w:t>
            </w:r>
          </w:p>
        </w:tc>
        <w:tc>
          <w:tcPr>
            <w:tcW w:w="1275"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rFonts w:eastAsia="仿宋_GB2312"/>
                <w:b/>
                <w:bCs/>
                <w:color w:val="000000"/>
                <w:kern w:val="0"/>
                <w:sz w:val="20"/>
                <w:szCs w:val="20"/>
              </w:rPr>
            </w:pPr>
            <w:r>
              <w:rPr>
                <w:rFonts w:eastAsia="仿宋_GB2312"/>
                <w:b/>
                <w:bCs/>
                <w:color w:val="000000"/>
                <w:kern w:val="0"/>
                <w:sz w:val="20"/>
                <w:szCs w:val="20"/>
              </w:rPr>
              <w:t>三级指标</w:t>
            </w:r>
          </w:p>
        </w:tc>
        <w:tc>
          <w:tcPr>
            <w:tcW w:w="3080"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rFonts w:eastAsia="仿宋_GB2312"/>
                <w:b/>
                <w:bCs/>
                <w:color w:val="000000"/>
                <w:kern w:val="0"/>
                <w:sz w:val="20"/>
                <w:szCs w:val="20"/>
              </w:rPr>
            </w:pPr>
            <w:r>
              <w:rPr>
                <w:rFonts w:eastAsia="仿宋_GB2312"/>
                <w:b/>
                <w:bCs/>
                <w:color w:val="000000"/>
                <w:kern w:val="0"/>
                <w:sz w:val="20"/>
                <w:szCs w:val="20"/>
              </w:rPr>
              <w:t>指标解释</w:t>
            </w:r>
          </w:p>
        </w:tc>
        <w:tc>
          <w:tcPr>
            <w:tcW w:w="4363"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rFonts w:eastAsia="仿宋_GB2312"/>
                <w:b/>
                <w:bCs/>
                <w:color w:val="000000"/>
                <w:kern w:val="0"/>
                <w:sz w:val="20"/>
                <w:szCs w:val="20"/>
              </w:rPr>
            </w:pPr>
            <w:r>
              <w:rPr>
                <w:rFonts w:eastAsia="仿宋_GB2312"/>
                <w:b/>
                <w:bCs/>
                <w:color w:val="000000"/>
                <w:kern w:val="0"/>
                <w:sz w:val="20"/>
                <w:szCs w:val="20"/>
              </w:rPr>
              <w:t>指标说明</w:t>
            </w:r>
          </w:p>
        </w:tc>
        <w:tc>
          <w:tcPr>
            <w:tcW w:w="524" w:type="dxa"/>
            <w:vMerge w:val="restart"/>
            <w:tcBorders>
              <w:top w:val="single" w:color="auto" w:sz="4" w:space="0"/>
              <w:left w:val="single" w:color="auto" w:sz="4" w:space="0"/>
              <w:right w:val="single" w:color="auto" w:sz="4" w:space="0"/>
            </w:tcBorders>
            <w:vAlign w:val="center"/>
          </w:tcPr>
          <w:p>
            <w:pPr>
              <w:widowControl/>
              <w:jc w:val="center"/>
              <w:rPr>
                <w:rFonts w:eastAsia="仿宋_GB2312"/>
                <w:b/>
                <w:bCs/>
                <w:color w:val="000000"/>
                <w:kern w:val="0"/>
                <w:sz w:val="20"/>
                <w:szCs w:val="20"/>
              </w:rPr>
            </w:pPr>
            <w:r>
              <w:rPr>
                <w:rFonts w:hint="eastAsia" w:eastAsia="仿宋_GB2312"/>
                <w:b/>
                <w:bCs/>
                <w:color w:val="000000"/>
                <w:kern w:val="0"/>
                <w:sz w:val="20"/>
                <w:szCs w:val="20"/>
              </w:rPr>
              <w:t>得分</w:t>
            </w:r>
          </w:p>
        </w:tc>
      </w:tr>
      <w:tr>
        <w:tblPrEx>
          <w:tblCellMar>
            <w:top w:w="0" w:type="dxa"/>
            <w:left w:w="108" w:type="dxa"/>
            <w:bottom w:w="0" w:type="dxa"/>
            <w:right w:w="108" w:type="dxa"/>
          </w:tblCellMar>
        </w:tblPrEx>
        <w:trPr>
          <w:trHeight w:val="391" w:hRule="atLeast"/>
          <w:tblHeader/>
          <w:jc w:val="center"/>
        </w:trPr>
        <w:tc>
          <w:tcPr>
            <w:tcW w:w="656" w:type="dxa"/>
            <w:tcBorders>
              <w:top w:val="nil"/>
              <w:left w:val="single" w:color="auto" w:sz="4" w:space="0"/>
              <w:bottom w:val="single" w:color="auto" w:sz="4" w:space="0"/>
              <w:right w:val="single" w:color="auto" w:sz="4" w:space="0"/>
            </w:tcBorders>
            <w:vAlign w:val="center"/>
          </w:tcPr>
          <w:p>
            <w:pPr>
              <w:widowControl/>
              <w:jc w:val="center"/>
              <w:rPr>
                <w:rFonts w:eastAsia="仿宋_GB2312"/>
                <w:b/>
                <w:bCs/>
                <w:color w:val="000000"/>
                <w:kern w:val="0"/>
                <w:sz w:val="20"/>
                <w:szCs w:val="20"/>
              </w:rPr>
            </w:pPr>
            <w:r>
              <w:rPr>
                <w:rFonts w:eastAsia="仿宋_GB2312"/>
                <w:b/>
                <w:bCs/>
                <w:color w:val="000000"/>
                <w:kern w:val="0"/>
                <w:sz w:val="20"/>
                <w:szCs w:val="20"/>
              </w:rPr>
              <w:t>指标</w:t>
            </w:r>
          </w:p>
        </w:tc>
        <w:tc>
          <w:tcPr>
            <w:tcW w:w="710" w:type="dxa"/>
            <w:tcBorders>
              <w:top w:val="nil"/>
              <w:left w:val="nil"/>
              <w:bottom w:val="single" w:color="auto" w:sz="4" w:space="0"/>
              <w:right w:val="single" w:color="auto" w:sz="4" w:space="0"/>
            </w:tcBorders>
            <w:vAlign w:val="center"/>
          </w:tcPr>
          <w:p>
            <w:pPr>
              <w:widowControl/>
              <w:jc w:val="center"/>
              <w:rPr>
                <w:rFonts w:eastAsia="仿宋_GB2312"/>
                <w:b/>
                <w:bCs/>
                <w:color w:val="000000"/>
                <w:kern w:val="0"/>
                <w:sz w:val="20"/>
                <w:szCs w:val="20"/>
              </w:rPr>
            </w:pPr>
            <w:r>
              <w:rPr>
                <w:rFonts w:eastAsia="仿宋_GB2312"/>
                <w:b/>
                <w:bCs/>
                <w:color w:val="000000"/>
                <w:kern w:val="0"/>
                <w:sz w:val="20"/>
                <w:szCs w:val="20"/>
              </w:rPr>
              <w:t>指标</w:t>
            </w:r>
          </w:p>
        </w:tc>
        <w:tc>
          <w:tcPr>
            <w:tcW w:w="12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仿宋_GB2312"/>
                <w:b/>
                <w:bCs/>
                <w:color w:val="000000"/>
                <w:kern w:val="0"/>
                <w:sz w:val="20"/>
                <w:szCs w:val="20"/>
              </w:rPr>
            </w:pPr>
          </w:p>
        </w:tc>
        <w:tc>
          <w:tcPr>
            <w:tcW w:w="308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eastAsia="仿宋_GB2312"/>
                <w:b/>
                <w:bCs/>
                <w:color w:val="000000"/>
                <w:kern w:val="0"/>
                <w:sz w:val="20"/>
                <w:szCs w:val="20"/>
              </w:rPr>
            </w:pPr>
          </w:p>
        </w:tc>
        <w:tc>
          <w:tcPr>
            <w:tcW w:w="4363"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eastAsia="仿宋_GB2312"/>
                <w:b/>
                <w:bCs/>
                <w:color w:val="000000"/>
                <w:kern w:val="0"/>
                <w:sz w:val="20"/>
                <w:szCs w:val="20"/>
              </w:rPr>
            </w:pPr>
          </w:p>
        </w:tc>
        <w:tc>
          <w:tcPr>
            <w:tcW w:w="524" w:type="dxa"/>
            <w:vMerge w:val="continue"/>
            <w:tcBorders>
              <w:left w:val="single" w:color="auto" w:sz="4" w:space="0"/>
              <w:bottom w:val="single" w:color="000000" w:sz="4" w:space="0"/>
              <w:right w:val="single" w:color="auto" w:sz="4" w:space="0"/>
            </w:tcBorders>
          </w:tcPr>
          <w:p>
            <w:pPr>
              <w:widowControl/>
              <w:jc w:val="left"/>
              <w:rPr>
                <w:rFonts w:eastAsia="仿宋_GB2312"/>
                <w:b/>
                <w:bCs/>
                <w:color w:val="000000"/>
                <w:kern w:val="0"/>
                <w:sz w:val="20"/>
                <w:szCs w:val="20"/>
              </w:rPr>
            </w:pPr>
          </w:p>
        </w:tc>
      </w:tr>
      <w:tr>
        <w:tblPrEx>
          <w:tblCellMar>
            <w:top w:w="0" w:type="dxa"/>
            <w:left w:w="108" w:type="dxa"/>
            <w:bottom w:w="0" w:type="dxa"/>
            <w:right w:w="108" w:type="dxa"/>
          </w:tblCellMar>
        </w:tblPrEx>
        <w:trPr>
          <w:jc w:val="center"/>
        </w:trPr>
        <w:tc>
          <w:tcPr>
            <w:tcW w:w="656" w:type="dxa"/>
            <w:vMerge w:val="restart"/>
            <w:tcBorders>
              <w:top w:val="single" w:color="auto" w:sz="4" w:space="0"/>
              <w:left w:val="single" w:color="auto" w:sz="4" w:space="0"/>
              <w:bottom w:val="single" w:color="000000" w:sz="4" w:space="0"/>
              <w:right w:val="single" w:color="auto" w:sz="4" w:space="0"/>
            </w:tcBorders>
            <w:vAlign w:val="center"/>
          </w:tcPr>
          <w:p>
            <w:pPr>
              <w:widowControl/>
              <w:spacing w:line="280" w:lineRule="exact"/>
              <w:jc w:val="center"/>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投入</w:t>
            </w:r>
          </w:p>
          <w:p>
            <w:pPr>
              <w:widowControl/>
              <w:spacing w:line="280" w:lineRule="exact"/>
              <w:jc w:val="center"/>
              <w:rPr>
                <w:rFonts w:ascii="宋体" w:hAnsi="宋体"/>
                <w:color w:val="000000"/>
                <w:kern w:val="0"/>
                <w:sz w:val="24"/>
              </w:rPr>
            </w:pPr>
            <w:r>
              <w:rPr>
                <w:rFonts w:hint="eastAsia" w:ascii="仿宋_GB2312" w:hAnsi="宋体" w:eastAsia="仿宋_GB2312"/>
                <w:color w:val="000000"/>
                <w:kern w:val="0"/>
                <w:sz w:val="20"/>
                <w:szCs w:val="20"/>
              </w:rPr>
              <w:t>（20分）</w:t>
            </w:r>
          </w:p>
        </w:tc>
        <w:tc>
          <w:tcPr>
            <w:tcW w:w="710" w:type="dxa"/>
            <w:vMerge w:val="restart"/>
            <w:tcBorders>
              <w:top w:val="single" w:color="auto" w:sz="4" w:space="0"/>
              <w:left w:val="single" w:color="auto" w:sz="4" w:space="0"/>
              <w:bottom w:val="single" w:color="000000" w:sz="4" w:space="0"/>
              <w:right w:val="single" w:color="auto" w:sz="4" w:space="0"/>
            </w:tcBorders>
            <w:vAlign w:val="center"/>
          </w:tcPr>
          <w:p>
            <w:pPr>
              <w:widowControl/>
              <w:spacing w:line="280" w:lineRule="exact"/>
              <w:jc w:val="center"/>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项目立项</w:t>
            </w:r>
          </w:p>
          <w:p>
            <w:pPr>
              <w:widowControl/>
              <w:spacing w:line="280" w:lineRule="exact"/>
              <w:jc w:val="center"/>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（12分）</w:t>
            </w:r>
          </w:p>
        </w:tc>
        <w:tc>
          <w:tcPr>
            <w:tcW w:w="1275" w:type="dxa"/>
            <w:vMerge w:val="restart"/>
            <w:tcBorders>
              <w:top w:val="single" w:color="auto" w:sz="4" w:space="0"/>
              <w:left w:val="single" w:color="auto" w:sz="4" w:space="0"/>
              <w:bottom w:val="single" w:color="000000" w:sz="4" w:space="0"/>
              <w:right w:val="single" w:color="auto" w:sz="4" w:space="0"/>
            </w:tcBorders>
            <w:vAlign w:val="center"/>
          </w:tcPr>
          <w:p>
            <w:pPr>
              <w:widowControl/>
              <w:spacing w:line="280" w:lineRule="exact"/>
              <w:jc w:val="center"/>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项目立项规范性</w:t>
            </w:r>
          </w:p>
          <w:p>
            <w:pPr>
              <w:widowControl/>
              <w:spacing w:line="280" w:lineRule="exact"/>
              <w:jc w:val="center"/>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（4分）</w:t>
            </w:r>
          </w:p>
        </w:tc>
        <w:tc>
          <w:tcPr>
            <w:tcW w:w="3080" w:type="dxa"/>
            <w:vMerge w:val="restart"/>
            <w:tcBorders>
              <w:top w:val="nil"/>
              <w:left w:val="single" w:color="auto" w:sz="4" w:space="0"/>
              <w:bottom w:val="single" w:color="000000" w:sz="4" w:space="0"/>
              <w:right w:val="single" w:color="auto" w:sz="4" w:space="0"/>
            </w:tcBorders>
            <w:vAlign w:val="center"/>
          </w:tcPr>
          <w:p>
            <w:pPr>
              <w:widowControl/>
              <w:spacing w:line="280" w:lineRule="exact"/>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项目的申请、设立过程是否符合相关要求，用以反映和考核项目立项的规范情况。</w:t>
            </w:r>
          </w:p>
        </w:tc>
        <w:tc>
          <w:tcPr>
            <w:tcW w:w="4363" w:type="dxa"/>
            <w:tcBorders>
              <w:top w:val="nil"/>
              <w:left w:val="nil"/>
              <w:bottom w:val="nil"/>
              <w:right w:val="single" w:color="auto" w:sz="4" w:space="0"/>
            </w:tcBorders>
            <w:vAlign w:val="center"/>
          </w:tcPr>
          <w:p>
            <w:pPr>
              <w:widowControl/>
              <w:spacing w:line="280" w:lineRule="exact"/>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评价要点：</w:t>
            </w:r>
          </w:p>
        </w:tc>
        <w:tc>
          <w:tcPr>
            <w:tcW w:w="524" w:type="dxa"/>
            <w:tcBorders>
              <w:top w:val="nil"/>
              <w:left w:val="nil"/>
              <w:bottom w:val="nil"/>
              <w:right w:val="single" w:color="auto" w:sz="4" w:space="0"/>
            </w:tcBorders>
          </w:tcPr>
          <w:p>
            <w:pPr>
              <w:widowControl/>
              <w:spacing w:line="280" w:lineRule="exact"/>
              <w:rPr>
                <w:rFonts w:ascii="宋体" w:hAnsi="宋体"/>
                <w:color w:val="000000"/>
                <w:kern w:val="0"/>
                <w:sz w:val="24"/>
              </w:rPr>
            </w:pPr>
          </w:p>
        </w:tc>
      </w:tr>
      <w:tr>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宋体" w:hAnsi="宋体"/>
                <w:color w:val="000000"/>
                <w:kern w:val="0"/>
                <w:sz w:val="24"/>
              </w:rPr>
            </w:pPr>
          </w:p>
        </w:tc>
        <w:tc>
          <w:tcPr>
            <w:tcW w:w="710"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仿宋_GB2312" w:hAnsi="宋体" w:eastAsia="仿宋_GB2312"/>
                <w:color w:val="000000"/>
                <w:kern w:val="0"/>
                <w:sz w:val="20"/>
                <w:szCs w:val="20"/>
              </w:rPr>
            </w:pPr>
          </w:p>
        </w:tc>
        <w:tc>
          <w:tcPr>
            <w:tcW w:w="1275"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仿宋_GB2312" w:hAnsi="宋体" w:eastAsia="仿宋_GB2312"/>
                <w:color w:val="000000"/>
                <w:kern w:val="0"/>
                <w:sz w:val="20"/>
                <w:szCs w:val="20"/>
              </w:rPr>
            </w:pPr>
          </w:p>
        </w:tc>
        <w:tc>
          <w:tcPr>
            <w:tcW w:w="3080"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仿宋_GB2312" w:hAnsi="宋体" w:eastAsia="仿宋_GB2312"/>
                <w:color w:val="000000"/>
                <w:kern w:val="0"/>
                <w:sz w:val="20"/>
                <w:szCs w:val="20"/>
              </w:rPr>
            </w:pPr>
          </w:p>
        </w:tc>
        <w:tc>
          <w:tcPr>
            <w:tcW w:w="4363" w:type="dxa"/>
            <w:tcBorders>
              <w:top w:val="nil"/>
              <w:left w:val="nil"/>
              <w:bottom w:val="nil"/>
              <w:right w:val="single" w:color="auto" w:sz="4" w:space="0"/>
            </w:tcBorders>
            <w:vAlign w:val="center"/>
          </w:tcPr>
          <w:p>
            <w:pPr>
              <w:widowControl/>
              <w:spacing w:line="280" w:lineRule="exact"/>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①项目是否按照规定的程序申请设立；</w:t>
            </w:r>
          </w:p>
        </w:tc>
        <w:tc>
          <w:tcPr>
            <w:tcW w:w="524" w:type="dxa"/>
            <w:tcBorders>
              <w:top w:val="nil"/>
              <w:left w:val="nil"/>
              <w:bottom w:val="nil"/>
              <w:right w:val="single" w:color="auto" w:sz="4" w:space="0"/>
            </w:tcBorders>
          </w:tcPr>
          <w:p>
            <w:pPr>
              <w:widowControl/>
              <w:spacing w:line="280" w:lineRule="exact"/>
              <w:rPr>
                <w:rFonts w:ascii="宋体" w:hAnsi="宋体"/>
                <w:color w:val="000000"/>
                <w:kern w:val="0"/>
                <w:sz w:val="24"/>
              </w:rPr>
            </w:pPr>
          </w:p>
        </w:tc>
      </w:tr>
      <w:tr>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宋体" w:hAnsi="宋体"/>
                <w:color w:val="000000"/>
                <w:kern w:val="0"/>
                <w:sz w:val="24"/>
              </w:rPr>
            </w:pPr>
          </w:p>
        </w:tc>
        <w:tc>
          <w:tcPr>
            <w:tcW w:w="710"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仿宋_GB2312" w:hAnsi="宋体" w:eastAsia="仿宋_GB2312"/>
                <w:color w:val="000000"/>
                <w:kern w:val="0"/>
                <w:sz w:val="20"/>
                <w:szCs w:val="20"/>
              </w:rPr>
            </w:pPr>
          </w:p>
        </w:tc>
        <w:tc>
          <w:tcPr>
            <w:tcW w:w="1275"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仿宋_GB2312" w:hAnsi="宋体" w:eastAsia="仿宋_GB2312"/>
                <w:color w:val="000000"/>
                <w:kern w:val="0"/>
                <w:sz w:val="20"/>
                <w:szCs w:val="20"/>
              </w:rPr>
            </w:pPr>
          </w:p>
        </w:tc>
        <w:tc>
          <w:tcPr>
            <w:tcW w:w="3080"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仿宋_GB2312" w:hAnsi="宋体" w:eastAsia="仿宋_GB2312"/>
                <w:color w:val="000000"/>
                <w:kern w:val="0"/>
                <w:sz w:val="20"/>
                <w:szCs w:val="20"/>
              </w:rPr>
            </w:pPr>
          </w:p>
        </w:tc>
        <w:tc>
          <w:tcPr>
            <w:tcW w:w="4363" w:type="dxa"/>
            <w:tcBorders>
              <w:top w:val="nil"/>
              <w:left w:val="nil"/>
              <w:bottom w:val="nil"/>
              <w:right w:val="single" w:color="auto" w:sz="4" w:space="0"/>
            </w:tcBorders>
            <w:vAlign w:val="center"/>
          </w:tcPr>
          <w:p>
            <w:pPr>
              <w:widowControl/>
              <w:spacing w:line="280" w:lineRule="exact"/>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②所提交的文件、材料是否符合相关要求；</w:t>
            </w:r>
          </w:p>
        </w:tc>
        <w:tc>
          <w:tcPr>
            <w:tcW w:w="524" w:type="dxa"/>
            <w:tcBorders>
              <w:top w:val="nil"/>
              <w:left w:val="nil"/>
              <w:bottom w:val="nil"/>
              <w:right w:val="single" w:color="auto" w:sz="4" w:space="0"/>
            </w:tcBorders>
          </w:tcPr>
          <w:p>
            <w:pPr>
              <w:widowControl/>
              <w:spacing w:line="280" w:lineRule="exact"/>
              <w:rPr>
                <w:rFonts w:ascii="宋体" w:hAnsi="宋体"/>
                <w:color w:val="000000"/>
                <w:kern w:val="0"/>
                <w:sz w:val="24"/>
              </w:rPr>
            </w:pPr>
            <w:r>
              <w:rPr>
                <w:rFonts w:hint="eastAsia" w:ascii="宋体" w:hAnsi="宋体"/>
                <w:color w:val="000000"/>
                <w:kern w:val="0"/>
                <w:sz w:val="24"/>
              </w:rPr>
              <w:t>4</w:t>
            </w:r>
          </w:p>
        </w:tc>
      </w:tr>
      <w:tr>
        <w:tblPrEx>
          <w:tblCellMar>
            <w:top w:w="0" w:type="dxa"/>
            <w:left w:w="108" w:type="dxa"/>
            <w:bottom w:w="0" w:type="dxa"/>
            <w:right w:w="108" w:type="dxa"/>
          </w:tblCellMar>
        </w:tblPrEx>
        <w:trPr>
          <w:trHeight w:val="948" w:hRule="atLeast"/>
          <w:jc w:val="center"/>
        </w:trPr>
        <w:tc>
          <w:tcPr>
            <w:tcW w:w="656"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宋体" w:hAnsi="宋体"/>
                <w:color w:val="000000"/>
                <w:kern w:val="0"/>
                <w:sz w:val="24"/>
              </w:rPr>
            </w:pPr>
          </w:p>
        </w:tc>
        <w:tc>
          <w:tcPr>
            <w:tcW w:w="710"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仿宋_GB2312" w:hAnsi="宋体" w:eastAsia="仿宋_GB2312"/>
                <w:color w:val="000000"/>
                <w:kern w:val="0"/>
                <w:sz w:val="20"/>
                <w:szCs w:val="20"/>
              </w:rPr>
            </w:pPr>
          </w:p>
        </w:tc>
        <w:tc>
          <w:tcPr>
            <w:tcW w:w="1275"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仿宋_GB2312" w:hAnsi="宋体" w:eastAsia="仿宋_GB2312"/>
                <w:color w:val="000000"/>
                <w:kern w:val="0"/>
                <w:sz w:val="20"/>
                <w:szCs w:val="20"/>
              </w:rPr>
            </w:pPr>
          </w:p>
        </w:tc>
        <w:tc>
          <w:tcPr>
            <w:tcW w:w="3080"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仿宋_GB2312" w:hAnsi="宋体" w:eastAsia="仿宋_GB2312"/>
                <w:color w:val="000000"/>
                <w:kern w:val="0"/>
                <w:sz w:val="20"/>
                <w:szCs w:val="20"/>
              </w:rPr>
            </w:pPr>
          </w:p>
        </w:tc>
        <w:tc>
          <w:tcPr>
            <w:tcW w:w="4363" w:type="dxa"/>
            <w:tcBorders>
              <w:top w:val="nil"/>
              <w:left w:val="nil"/>
              <w:bottom w:val="single" w:color="auto" w:sz="4" w:space="0"/>
              <w:right w:val="single" w:color="auto" w:sz="4" w:space="0"/>
            </w:tcBorders>
            <w:vAlign w:val="center"/>
          </w:tcPr>
          <w:p>
            <w:pPr>
              <w:widowControl/>
              <w:spacing w:line="280" w:lineRule="exact"/>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③事前是否已经过必要的可行性研究、专家论证、风险评估、集体决策等。</w:t>
            </w:r>
          </w:p>
        </w:tc>
        <w:tc>
          <w:tcPr>
            <w:tcW w:w="524" w:type="dxa"/>
            <w:tcBorders>
              <w:top w:val="nil"/>
              <w:left w:val="nil"/>
              <w:bottom w:val="single" w:color="auto" w:sz="4" w:space="0"/>
              <w:right w:val="single" w:color="auto" w:sz="4" w:space="0"/>
            </w:tcBorders>
          </w:tcPr>
          <w:p>
            <w:pPr>
              <w:widowControl/>
              <w:spacing w:line="280" w:lineRule="exact"/>
              <w:rPr>
                <w:rFonts w:ascii="宋体" w:hAnsi="宋体"/>
                <w:color w:val="000000"/>
                <w:kern w:val="0"/>
                <w:sz w:val="24"/>
              </w:rPr>
            </w:pPr>
          </w:p>
        </w:tc>
      </w:tr>
      <w:tr>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宋体" w:hAnsi="宋体"/>
                <w:color w:val="000000"/>
                <w:kern w:val="0"/>
                <w:sz w:val="24"/>
              </w:rPr>
            </w:pPr>
          </w:p>
        </w:tc>
        <w:tc>
          <w:tcPr>
            <w:tcW w:w="710"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仿宋_GB2312" w:hAnsi="宋体" w:eastAsia="仿宋_GB2312"/>
                <w:color w:val="000000"/>
                <w:kern w:val="0"/>
                <w:sz w:val="20"/>
                <w:szCs w:val="20"/>
              </w:rPr>
            </w:pPr>
          </w:p>
        </w:tc>
        <w:tc>
          <w:tcPr>
            <w:tcW w:w="1275" w:type="dxa"/>
            <w:vMerge w:val="restart"/>
            <w:tcBorders>
              <w:top w:val="nil"/>
              <w:left w:val="single" w:color="auto" w:sz="4" w:space="0"/>
              <w:bottom w:val="single" w:color="000000" w:sz="4" w:space="0"/>
              <w:right w:val="single" w:color="auto" w:sz="4" w:space="0"/>
            </w:tcBorders>
            <w:vAlign w:val="center"/>
          </w:tcPr>
          <w:p>
            <w:pPr>
              <w:widowControl/>
              <w:spacing w:line="280" w:lineRule="exact"/>
              <w:jc w:val="center"/>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绩效目标合理性</w:t>
            </w:r>
          </w:p>
          <w:p>
            <w:pPr>
              <w:widowControl/>
              <w:spacing w:line="280" w:lineRule="exact"/>
              <w:jc w:val="center"/>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（4分）</w:t>
            </w:r>
          </w:p>
        </w:tc>
        <w:tc>
          <w:tcPr>
            <w:tcW w:w="3080" w:type="dxa"/>
            <w:vMerge w:val="restart"/>
            <w:tcBorders>
              <w:top w:val="nil"/>
              <w:left w:val="single" w:color="auto" w:sz="4" w:space="0"/>
              <w:bottom w:val="single" w:color="000000" w:sz="4" w:space="0"/>
              <w:right w:val="single" w:color="auto" w:sz="4" w:space="0"/>
            </w:tcBorders>
            <w:vAlign w:val="center"/>
          </w:tcPr>
          <w:p>
            <w:pPr>
              <w:widowControl/>
              <w:spacing w:line="280" w:lineRule="exact"/>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项目所设定的绩效目标是否依据充分，是否符合客观实际，用以反映和考核项目绩效目标与项目实施的相符情况。</w:t>
            </w:r>
          </w:p>
        </w:tc>
        <w:tc>
          <w:tcPr>
            <w:tcW w:w="4363" w:type="dxa"/>
            <w:tcBorders>
              <w:top w:val="nil"/>
              <w:left w:val="nil"/>
              <w:bottom w:val="nil"/>
              <w:right w:val="single" w:color="auto" w:sz="4" w:space="0"/>
            </w:tcBorders>
            <w:vAlign w:val="center"/>
          </w:tcPr>
          <w:p>
            <w:pPr>
              <w:widowControl/>
              <w:spacing w:line="280" w:lineRule="exact"/>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评价要点：</w:t>
            </w:r>
          </w:p>
        </w:tc>
        <w:tc>
          <w:tcPr>
            <w:tcW w:w="524" w:type="dxa"/>
            <w:tcBorders>
              <w:top w:val="nil"/>
              <w:left w:val="nil"/>
              <w:bottom w:val="nil"/>
              <w:right w:val="single" w:color="auto" w:sz="4" w:space="0"/>
            </w:tcBorders>
          </w:tcPr>
          <w:p>
            <w:pPr>
              <w:widowControl/>
              <w:spacing w:line="280" w:lineRule="exact"/>
              <w:rPr>
                <w:rFonts w:ascii="宋体" w:hAnsi="宋体"/>
                <w:color w:val="000000"/>
                <w:kern w:val="0"/>
                <w:sz w:val="24"/>
              </w:rPr>
            </w:pPr>
          </w:p>
        </w:tc>
      </w:tr>
      <w:tr>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宋体" w:hAnsi="宋体"/>
                <w:color w:val="000000"/>
                <w:kern w:val="0"/>
                <w:sz w:val="24"/>
              </w:rPr>
            </w:pPr>
          </w:p>
        </w:tc>
        <w:tc>
          <w:tcPr>
            <w:tcW w:w="710"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仿宋_GB2312" w:hAnsi="宋体" w:eastAsia="仿宋_GB2312"/>
                <w:color w:val="000000"/>
                <w:kern w:val="0"/>
                <w:sz w:val="20"/>
                <w:szCs w:val="20"/>
              </w:rPr>
            </w:pPr>
          </w:p>
        </w:tc>
        <w:tc>
          <w:tcPr>
            <w:tcW w:w="1275"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仿宋_GB2312" w:hAnsi="宋体" w:eastAsia="仿宋_GB2312"/>
                <w:color w:val="000000"/>
                <w:kern w:val="0"/>
                <w:sz w:val="20"/>
                <w:szCs w:val="20"/>
              </w:rPr>
            </w:pPr>
          </w:p>
        </w:tc>
        <w:tc>
          <w:tcPr>
            <w:tcW w:w="3080"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仿宋_GB2312" w:hAnsi="宋体" w:eastAsia="仿宋_GB2312"/>
                <w:color w:val="000000"/>
                <w:kern w:val="0"/>
                <w:sz w:val="20"/>
                <w:szCs w:val="20"/>
              </w:rPr>
            </w:pPr>
          </w:p>
        </w:tc>
        <w:tc>
          <w:tcPr>
            <w:tcW w:w="4363" w:type="dxa"/>
            <w:tcBorders>
              <w:top w:val="nil"/>
              <w:left w:val="nil"/>
              <w:bottom w:val="nil"/>
              <w:right w:val="single" w:color="auto" w:sz="4" w:space="0"/>
            </w:tcBorders>
            <w:vAlign w:val="center"/>
          </w:tcPr>
          <w:p>
            <w:pPr>
              <w:widowControl/>
              <w:spacing w:line="280" w:lineRule="exact"/>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①是否符合国家相关法律法规，国民经济发展规划和党委政府决策；</w:t>
            </w:r>
          </w:p>
        </w:tc>
        <w:tc>
          <w:tcPr>
            <w:tcW w:w="524" w:type="dxa"/>
            <w:tcBorders>
              <w:top w:val="nil"/>
              <w:left w:val="nil"/>
              <w:bottom w:val="nil"/>
              <w:right w:val="single" w:color="auto" w:sz="4" w:space="0"/>
            </w:tcBorders>
          </w:tcPr>
          <w:p>
            <w:pPr>
              <w:widowControl/>
              <w:spacing w:line="280" w:lineRule="exact"/>
              <w:rPr>
                <w:rFonts w:ascii="宋体" w:hAnsi="宋体"/>
                <w:color w:val="000000"/>
                <w:kern w:val="0"/>
                <w:sz w:val="24"/>
              </w:rPr>
            </w:pPr>
          </w:p>
        </w:tc>
      </w:tr>
      <w:tr>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宋体" w:hAnsi="宋体"/>
                <w:color w:val="000000"/>
                <w:kern w:val="0"/>
                <w:sz w:val="24"/>
              </w:rPr>
            </w:pPr>
          </w:p>
        </w:tc>
        <w:tc>
          <w:tcPr>
            <w:tcW w:w="710"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仿宋_GB2312" w:hAnsi="宋体" w:eastAsia="仿宋_GB2312"/>
                <w:color w:val="000000"/>
                <w:kern w:val="0"/>
                <w:sz w:val="20"/>
                <w:szCs w:val="20"/>
              </w:rPr>
            </w:pPr>
          </w:p>
        </w:tc>
        <w:tc>
          <w:tcPr>
            <w:tcW w:w="1275"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仿宋_GB2312" w:hAnsi="宋体" w:eastAsia="仿宋_GB2312"/>
                <w:color w:val="000000"/>
                <w:kern w:val="0"/>
                <w:sz w:val="20"/>
                <w:szCs w:val="20"/>
              </w:rPr>
            </w:pPr>
          </w:p>
        </w:tc>
        <w:tc>
          <w:tcPr>
            <w:tcW w:w="3080"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仿宋_GB2312" w:hAnsi="宋体" w:eastAsia="仿宋_GB2312"/>
                <w:color w:val="000000"/>
                <w:kern w:val="0"/>
                <w:sz w:val="20"/>
                <w:szCs w:val="20"/>
              </w:rPr>
            </w:pPr>
          </w:p>
        </w:tc>
        <w:tc>
          <w:tcPr>
            <w:tcW w:w="4363" w:type="dxa"/>
            <w:tcBorders>
              <w:top w:val="nil"/>
              <w:left w:val="nil"/>
              <w:bottom w:val="nil"/>
              <w:right w:val="single" w:color="auto" w:sz="4" w:space="0"/>
            </w:tcBorders>
            <w:vAlign w:val="center"/>
          </w:tcPr>
          <w:p>
            <w:pPr>
              <w:widowControl/>
              <w:spacing w:line="280" w:lineRule="exact"/>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②是否与项目实施单位或委托单位职责密切相关；</w:t>
            </w:r>
          </w:p>
        </w:tc>
        <w:tc>
          <w:tcPr>
            <w:tcW w:w="524" w:type="dxa"/>
            <w:tcBorders>
              <w:top w:val="nil"/>
              <w:left w:val="nil"/>
              <w:bottom w:val="nil"/>
              <w:right w:val="single" w:color="auto" w:sz="4" w:space="0"/>
            </w:tcBorders>
          </w:tcPr>
          <w:p>
            <w:pPr>
              <w:widowControl/>
              <w:spacing w:line="280" w:lineRule="exact"/>
              <w:rPr>
                <w:rFonts w:ascii="宋体" w:hAnsi="宋体"/>
                <w:color w:val="000000"/>
                <w:kern w:val="0"/>
                <w:sz w:val="24"/>
              </w:rPr>
            </w:pPr>
            <w:r>
              <w:rPr>
                <w:rFonts w:hint="eastAsia" w:ascii="宋体" w:hAnsi="宋体"/>
                <w:color w:val="000000"/>
                <w:kern w:val="0"/>
                <w:sz w:val="24"/>
              </w:rPr>
              <w:t>4</w:t>
            </w:r>
          </w:p>
        </w:tc>
      </w:tr>
      <w:tr>
        <w:tblPrEx>
          <w:tblCellMar>
            <w:top w:w="0" w:type="dxa"/>
            <w:left w:w="108" w:type="dxa"/>
            <w:bottom w:w="0" w:type="dxa"/>
            <w:right w:w="108" w:type="dxa"/>
          </w:tblCellMar>
        </w:tblPrEx>
        <w:trPr>
          <w:trHeight w:val="90" w:hRule="atLeast"/>
          <w:jc w:val="center"/>
        </w:trPr>
        <w:tc>
          <w:tcPr>
            <w:tcW w:w="656"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宋体" w:hAnsi="宋体"/>
                <w:color w:val="000000"/>
                <w:kern w:val="0"/>
                <w:sz w:val="24"/>
              </w:rPr>
            </w:pPr>
          </w:p>
        </w:tc>
        <w:tc>
          <w:tcPr>
            <w:tcW w:w="710"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仿宋_GB2312" w:hAnsi="宋体" w:eastAsia="仿宋_GB2312"/>
                <w:color w:val="000000"/>
                <w:kern w:val="0"/>
                <w:sz w:val="20"/>
                <w:szCs w:val="20"/>
              </w:rPr>
            </w:pPr>
          </w:p>
        </w:tc>
        <w:tc>
          <w:tcPr>
            <w:tcW w:w="1275"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仿宋_GB2312" w:hAnsi="宋体" w:eastAsia="仿宋_GB2312"/>
                <w:color w:val="000000"/>
                <w:kern w:val="0"/>
                <w:sz w:val="20"/>
                <w:szCs w:val="20"/>
              </w:rPr>
            </w:pPr>
          </w:p>
        </w:tc>
        <w:tc>
          <w:tcPr>
            <w:tcW w:w="3080"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仿宋_GB2312" w:hAnsi="宋体" w:eastAsia="仿宋_GB2312"/>
                <w:color w:val="000000"/>
                <w:kern w:val="0"/>
                <w:sz w:val="20"/>
                <w:szCs w:val="20"/>
              </w:rPr>
            </w:pPr>
          </w:p>
        </w:tc>
        <w:tc>
          <w:tcPr>
            <w:tcW w:w="4363" w:type="dxa"/>
            <w:tcBorders>
              <w:top w:val="nil"/>
              <w:left w:val="nil"/>
              <w:bottom w:val="nil"/>
              <w:right w:val="single" w:color="auto" w:sz="4" w:space="0"/>
            </w:tcBorders>
            <w:vAlign w:val="center"/>
          </w:tcPr>
          <w:p>
            <w:pPr>
              <w:widowControl/>
              <w:spacing w:line="280" w:lineRule="exact"/>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③项目是否为促进事业发展所必需；</w:t>
            </w:r>
          </w:p>
        </w:tc>
        <w:tc>
          <w:tcPr>
            <w:tcW w:w="524" w:type="dxa"/>
            <w:tcBorders>
              <w:top w:val="nil"/>
              <w:left w:val="nil"/>
              <w:bottom w:val="nil"/>
              <w:right w:val="single" w:color="auto" w:sz="4" w:space="0"/>
            </w:tcBorders>
          </w:tcPr>
          <w:p>
            <w:pPr>
              <w:widowControl/>
              <w:spacing w:line="280" w:lineRule="exact"/>
              <w:rPr>
                <w:rFonts w:ascii="宋体" w:hAnsi="宋体"/>
                <w:color w:val="000000"/>
                <w:kern w:val="0"/>
                <w:sz w:val="24"/>
              </w:rPr>
            </w:pPr>
          </w:p>
        </w:tc>
      </w:tr>
      <w:tr>
        <w:tblPrEx>
          <w:tblCellMar>
            <w:top w:w="0" w:type="dxa"/>
            <w:left w:w="108" w:type="dxa"/>
            <w:bottom w:w="0" w:type="dxa"/>
            <w:right w:w="108" w:type="dxa"/>
          </w:tblCellMar>
        </w:tblPrEx>
        <w:trPr>
          <w:trHeight w:val="826" w:hRule="atLeast"/>
          <w:jc w:val="center"/>
        </w:trPr>
        <w:tc>
          <w:tcPr>
            <w:tcW w:w="656"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宋体" w:hAnsi="宋体"/>
                <w:color w:val="000000"/>
                <w:kern w:val="0"/>
                <w:sz w:val="24"/>
              </w:rPr>
            </w:pPr>
          </w:p>
        </w:tc>
        <w:tc>
          <w:tcPr>
            <w:tcW w:w="710"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仿宋_GB2312" w:hAnsi="宋体" w:eastAsia="仿宋_GB2312"/>
                <w:color w:val="000000"/>
                <w:kern w:val="0"/>
                <w:sz w:val="20"/>
                <w:szCs w:val="20"/>
              </w:rPr>
            </w:pPr>
          </w:p>
        </w:tc>
        <w:tc>
          <w:tcPr>
            <w:tcW w:w="1275"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仿宋_GB2312" w:hAnsi="宋体" w:eastAsia="仿宋_GB2312"/>
                <w:color w:val="000000"/>
                <w:kern w:val="0"/>
                <w:sz w:val="20"/>
                <w:szCs w:val="20"/>
              </w:rPr>
            </w:pPr>
          </w:p>
        </w:tc>
        <w:tc>
          <w:tcPr>
            <w:tcW w:w="3080"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仿宋_GB2312" w:hAnsi="宋体" w:eastAsia="仿宋_GB2312"/>
                <w:color w:val="000000"/>
                <w:kern w:val="0"/>
                <w:sz w:val="20"/>
                <w:szCs w:val="20"/>
              </w:rPr>
            </w:pPr>
          </w:p>
        </w:tc>
        <w:tc>
          <w:tcPr>
            <w:tcW w:w="4363" w:type="dxa"/>
            <w:tcBorders>
              <w:top w:val="nil"/>
              <w:left w:val="nil"/>
              <w:bottom w:val="single" w:color="auto" w:sz="4" w:space="0"/>
              <w:right w:val="single" w:color="auto" w:sz="4" w:space="0"/>
            </w:tcBorders>
            <w:vAlign w:val="center"/>
          </w:tcPr>
          <w:p>
            <w:pPr>
              <w:widowControl/>
              <w:spacing w:line="280" w:lineRule="exact"/>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④项目预期产出效益和效果是否符合正常的业绩水平。</w:t>
            </w:r>
          </w:p>
        </w:tc>
        <w:tc>
          <w:tcPr>
            <w:tcW w:w="524" w:type="dxa"/>
            <w:tcBorders>
              <w:top w:val="nil"/>
              <w:left w:val="nil"/>
              <w:bottom w:val="single" w:color="auto" w:sz="4" w:space="0"/>
              <w:right w:val="single" w:color="auto" w:sz="4" w:space="0"/>
            </w:tcBorders>
          </w:tcPr>
          <w:p>
            <w:pPr>
              <w:widowControl/>
              <w:spacing w:line="280" w:lineRule="exact"/>
              <w:rPr>
                <w:rFonts w:ascii="宋体" w:hAnsi="宋体"/>
                <w:color w:val="000000"/>
                <w:kern w:val="0"/>
                <w:sz w:val="24"/>
              </w:rPr>
            </w:pPr>
          </w:p>
        </w:tc>
      </w:tr>
      <w:tr>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宋体" w:hAnsi="宋体"/>
                <w:color w:val="000000"/>
                <w:kern w:val="0"/>
                <w:sz w:val="24"/>
              </w:rPr>
            </w:pPr>
          </w:p>
        </w:tc>
        <w:tc>
          <w:tcPr>
            <w:tcW w:w="710"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仿宋_GB2312" w:hAnsi="宋体" w:eastAsia="仿宋_GB2312"/>
                <w:color w:val="000000"/>
                <w:kern w:val="0"/>
                <w:sz w:val="20"/>
                <w:szCs w:val="20"/>
              </w:rPr>
            </w:pPr>
          </w:p>
        </w:tc>
        <w:tc>
          <w:tcPr>
            <w:tcW w:w="1275" w:type="dxa"/>
            <w:vMerge w:val="restart"/>
            <w:tcBorders>
              <w:top w:val="nil"/>
              <w:left w:val="single" w:color="auto" w:sz="4" w:space="0"/>
              <w:bottom w:val="single" w:color="000000" w:sz="4" w:space="0"/>
              <w:right w:val="single" w:color="auto" w:sz="4" w:space="0"/>
            </w:tcBorders>
            <w:vAlign w:val="center"/>
          </w:tcPr>
          <w:p>
            <w:pPr>
              <w:widowControl/>
              <w:spacing w:line="280" w:lineRule="exact"/>
              <w:jc w:val="center"/>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绩效指标明确性</w:t>
            </w:r>
          </w:p>
          <w:p>
            <w:pPr>
              <w:widowControl/>
              <w:spacing w:line="280" w:lineRule="exact"/>
              <w:jc w:val="center"/>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（4分）</w:t>
            </w:r>
          </w:p>
        </w:tc>
        <w:tc>
          <w:tcPr>
            <w:tcW w:w="3080" w:type="dxa"/>
            <w:vMerge w:val="restart"/>
            <w:tcBorders>
              <w:top w:val="nil"/>
              <w:left w:val="single" w:color="auto" w:sz="4" w:space="0"/>
              <w:bottom w:val="single" w:color="000000" w:sz="4" w:space="0"/>
              <w:right w:val="single" w:color="auto" w:sz="4" w:space="0"/>
            </w:tcBorders>
            <w:vAlign w:val="center"/>
          </w:tcPr>
          <w:p>
            <w:pPr>
              <w:widowControl/>
              <w:spacing w:line="280" w:lineRule="exact"/>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依据绩效目标设定的绩效指标是否清晰、细化、可衡量等，用以反映和考核项目绩效目标的明细化情况。</w:t>
            </w:r>
          </w:p>
        </w:tc>
        <w:tc>
          <w:tcPr>
            <w:tcW w:w="4363" w:type="dxa"/>
            <w:tcBorders>
              <w:top w:val="nil"/>
              <w:left w:val="nil"/>
              <w:bottom w:val="nil"/>
              <w:right w:val="single" w:color="auto" w:sz="4" w:space="0"/>
            </w:tcBorders>
            <w:vAlign w:val="center"/>
          </w:tcPr>
          <w:p>
            <w:pPr>
              <w:widowControl/>
              <w:spacing w:line="280" w:lineRule="exact"/>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评价要点：</w:t>
            </w:r>
          </w:p>
        </w:tc>
        <w:tc>
          <w:tcPr>
            <w:tcW w:w="524" w:type="dxa"/>
            <w:tcBorders>
              <w:top w:val="nil"/>
              <w:left w:val="nil"/>
              <w:bottom w:val="nil"/>
              <w:right w:val="single" w:color="auto" w:sz="4" w:space="0"/>
            </w:tcBorders>
          </w:tcPr>
          <w:p>
            <w:pPr>
              <w:widowControl/>
              <w:spacing w:line="280" w:lineRule="exact"/>
              <w:rPr>
                <w:rFonts w:ascii="宋体" w:hAnsi="宋体"/>
                <w:color w:val="000000"/>
                <w:kern w:val="0"/>
                <w:sz w:val="24"/>
              </w:rPr>
            </w:pPr>
          </w:p>
        </w:tc>
      </w:tr>
      <w:tr>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宋体" w:hAnsi="宋体"/>
                <w:color w:val="000000"/>
                <w:kern w:val="0"/>
                <w:sz w:val="24"/>
              </w:rPr>
            </w:pPr>
          </w:p>
        </w:tc>
        <w:tc>
          <w:tcPr>
            <w:tcW w:w="710"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仿宋_GB2312" w:hAnsi="宋体" w:eastAsia="仿宋_GB2312"/>
                <w:color w:val="000000"/>
                <w:kern w:val="0"/>
                <w:sz w:val="20"/>
                <w:szCs w:val="20"/>
              </w:rPr>
            </w:pPr>
          </w:p>
        </w:tc>
        <w:tc>
          <w:tcPr>
            <w:tcW w:w="1275"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仿宋_GB2312" w:hAnsi="宋体" w:eastAsia="仿宋_GB2312"/>
                <w:color w:val="000000"/>
                <w:kern w:val="0"/>
                <w:sz w:val="20"/>
                <w:szCs w:val="20"/>
              </w:rPr>
            </w:pPr>
          </w:p>
        </w:tc>
        <w:tc>
          <w:tcPr>
            <w:tcW w:w="3080"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仿宋_GB2312" w:hAnsi="宋体" w:eastAsia="仿宋_GB2312"/>
                <w:color w:val="000000"/>
                <w:kern w:val="0"/>
                <w:sz w:val="20"/>
                <w:szCs w:val="20"/>
              </w:rPr>
            </w:pPr>
          </w:p>
        </w:tc>
        <w:tc>
          <w:tcPr>
            <w:tcW w:w="4363" w:type="dxa"/>
            <w:tcBorders>
              <w:top w:val="nil"/>
              <w:left w:val="nil"/>
              <w:bottom w:val="nil"/>
              <w:right w:val="single" w:color="auto" w:sz="4" w:space="0"/>
            </w:tcBorders>
            <w:vAlign w:val="center"/>
          </w:tcPr>
          <w:p>
            <w:pPr>
              <w:widowControl/>
              <w:spacing w:line="280" w:lineRule="exact"/>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①是否将项目绩效目标细化分解为具体的绩效指标；</w:t>
            </w:r>
          </w:p>
        </w:tc>
        <w:tc>
          <w:tcPr>
            <w:tcW w:w="524" w:type="dxa"/>
            <w:tcBorders>
              <w:top w:val="nil"/>
              <w:left w:val="nil"/>
              <w:bottom w:val="nil"/>
              <w:right w:val="single" w:color="auto" w:sz="4" w:space="0"/>
            </w:tcBorders>
          </w:tcPr>
          <w:p>
            <w:pPr>
              <w:widowControl/>
              <w:spacing w:line="280" w:lineRule="exact"/>
              <w:rPr>
                <w:rFonts w:ascii="宋体" w:hAnsi="宋体"/>
                <w:color w:val="000000"/>
                <w:kern w:val="0"/>
                <w:sz w:val="24"/>
              </w:rPr>
            </w:pPr>
          </w:p>
        </w:tc>
      </w:tr>
      <w:tr>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宋体" w:hAnsi="宋体"/>
                <w:color w:val="000000"/>
                <w:kern w:val="0"/>
                <w:sz w:val="24"/>
              </w:rPr>
            </w:pPr>
          </w:p>
        </w:tc>
        <w:tc>
          <w:tcPr>
            <w:tcW w:w="710"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仿宋_GB2312" w:hAnsi="宋体" w:eastAsia="仿宋_GB2312"/>
                <w:color w:val="000000"/>
                <w:kern w:val="0"/>
                <w:sz w:val="20"/>
                <w:szCs w:val="20"/>
              </w:rPr>
            </w:pPr>
          </w:p>
        </w:tc>
        <w:tc>
          <w:tcPr>
            <w:tcW w:w="1275"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仿宋_GB2312" w:hAnsi="宋体" w:eastAsia="仿宋_GB2312"/>
                <w:color w:val="000000"/>
                <w:kern w:val="0"/>
                <w:sz w:val="20"/>
                <w:szCs w:val="20"/>
              </w:rPr>
            </w:pPr>
          </w:p>
        </w:tc>
        <w:tc>
          <w:tcPr>
            <w:tcW w:w="3080"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仿宋_GB2312" w:hAnsi="宋体" w:eastAsia="仿宋_GB2312"/>
                <w:color w:val="000000"/>
                <w:kern w:val="0"/>
                <w:sz w:val="20"/>
                <w:szCs w:val="20"/>
              </w:rPr>
            </w:pPr>
          </w:p>
        </w:tc>
        <w:tc>
          <w:tcPr>
            <w:tcW w:w="4363" w:type="dxa"/>
            <w:tcBorders>
              <w:top w:val="nil"/>
              <w:left w:val="nil"/>
              <w:bottom w:val="nil"/>
              <w:right w:val="single" w:color="auto" w:sz="4" w:space="0"/>
            </w:tcBorders>
            <w:vAlign w:val="center"/>
          </w:tcPr>
          <w:p>
            <w:pPr>
              <w:widowControl/>
              <w:spacing w:line="280" w:lineRule="exact"/>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②是否通过清晰、可衡量的指标值予以体现；</w:t>
            </w:r>
          </w:p>
        </w:tc>
        <w:tc>
          <w:tcPr>
            <w:tcW w:w="524" w:type="dxa"/>
            <w:tcBorders>
              <w:top w:val="nil"/>
              <w:left w:val="nil"/>
              <w:bottom w:val="nil"/>
              <w:right w:val="single" w:color="auto" w:sz="4" w:space="0"/>
            </w:tcBorders>
          </w:tcPr>
          <w:p>
            <w:pPr>
              <w:widowControl/>
              <w:spacing w:line="280" w:lineRule="exact"/>
              <w:rPr>
                <w:rFonts w:ascii="宋体" w:hAnsi="宋体"/>
                <w:color w:val="000000"/>
                <w:kern w:val="0"/>
                <w:sz w:val="24"/>
              </w:rPr>
            </w:pPr>
            <w:r>
              <w:rPr>
                <w:rFonts w:hint="eastAsia" w:ascii="宋体" w:hAnsi="宋体"/>
                <w:color w:val="000000"/>
                <w:kern w:val="0"/>
                <w:sz w:val="24"/>
              </w:rPr>
              <w:t>4</w:t>
            </w:r>
          </w:p>
        </w:tc>
      </w:tr>
      <w:tr>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宋体" w:hAnsi="宋体"/>
                <w:color w:val="000000"/>
                <w:kern w:val="0"/>
                <w:sz w:val="24"/>
              </w:rPr>
            </w:pPr>
          </w:p>
        </w:tc>
        <w:tc>
          <w:tcPr>
            <w:tcW w:w="710"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仿宋_GB2312" w:hAnsi="宋体" w:eastAsia="仿宋_GB2312"/>
                <w:color w:val="000000"/>
                <w:kern w:val="0"/>
                <w:sz w:val="20"/>
                <w:szCs w:val="20"/>
              </w:rPr>
            </w:pPr>
          </w:p>
        </w:tc>
        <w:tc>
          <w:tcPr>
            <w:tcW w:w="1275"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仿宋_GB2312" w:hAnsi="宋体" w:eastAsia="仿宋_GB2312"/>
                <w:color w:val="000000"/>
                <w:kern w:val="0"/>
                <w:sz w:val="20"/>
                <w:szCs w:val="20"/>
              </w:rPr>
            </w:pPr>
          </w:p>
        </w:tc>
        <w:tc>
          <w:tcPr>
            <w:tcW w:w="3080"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仿宋_GB2312" w:hAnsi="宋体" w:eastAsia="仿宋_GB2312"/>
                <w:color w:val="000000"/>
                <w:kern w:val="0"/>
                <w:sz w:val="20"/>
                <w:szCs w:val="20"/>
              </w:rPr>
            </w:pPr>
          </w:p>
        </w:tc>
        <w:tc>
          <w:tcPr>
            <w:tcW w:w="4363" w:type="dxa"/>
            <w:tcBorders>
              <w:top w:val="nil"/>
              <w:left w:val="nil"/>
              <w:bottom w:val="nil"/>
              <w:right w:val="single" w:color="auto" w:sz="4" w:space="0"/>
            </w:tcBorders>
            <w:vAlign w:val="center"/>
          </w:tcPr>
          <w:p>
            <w:pPr>
              <w:widowControl/>
              <w:spacing w:line="280" w:lineRule="exact"/>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③是否与项目年度任务教或计划数相对应；</w:t>
            </w:r>
          </w:p>
        </w:tc>
        <w:tc>
          <w:tcPr>
            <w:tcW w:w="524" w:type="dxa"/>
            <w:tcBorders>
              <w:top w:val="nil"/>
              <w:left w:val="nil"/>
              <w:bottom w:val="nil"/>
              <w:right w:val="single" w:color="auto" w:sz="4" w:space="0"/>
            </w:tcBorders>
          </w:tcPr>
          <w:p>
            <w:pPr>
              <w:widowControl/>
              <w:spacing w:line="280" w:lineRule="exact"/>
              <w:rPr>
                <w:rFonts w:ascii="宋体" w:hAnsi="宋体"/>
                <w:color w:val="000000"/>
                <w:kern w:val="0"/>
                <w:sz w:val="24"/>
              </w:rPr>
            </w:pPr>
          </w:p>
        </w:tc>
      </w:tr>
      <w:tr>
        <w:tblPrEx>
          <w:tblCellMar>
            <w:top w:w="0" w:type="dxa"/>
            <w:left w:w="108" w:type="dxa"/>
            <w:bottom w:w="0" w:type="dxa"/>
            <w:right w:w="108" w:type="dxa"/>
          </w:tblCellMar>
        </w:tblPrEx>
        <w:trPr>
          <w:trHeight w:val="675" w:hRule="atLeast"/>
          <w:jc w:val="center"/>
        </w:trPr>
        <w:tc>
          <w:tcPr>
            <w:tcW w:w="656"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宋体" w:hAnsi="宋体"/>
                <w:color w:val="000000"/>
                <w:kern w:val="0"/>
                <w:sz w:val="24"/>
              </w:rPr>
            </w:pPr>
          </w:p>
        </w:tc>
        <w:tc>
          <w:tcPr>
            <w:tcW w:w="710"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仿宋_GB2312" w:hAnsi="宋体" w:eastAsia="仿宋_GB2312"/>
                <w:color w:val="000000"/>
                <w:kern w:val="0"/>
                <w:sz w:val="20"/>
                <w:szCs w:val="20"/>
              </w:rPr>
            </w:pPr>
          </w:p>
        </w:tc>
        <w:tc>
          <w:tcPr>
            <w:tcW w:w="1275"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仿宋_GB2312" w:hAnsi="宋体" w:eastAsia="仿宋_GB2312"/>
                <w:color w:val="000000"/>
                <w:kern w:val="0"/>
                <w:sz w:val="20"/>
                <w:szCs w:val="20"/>
              </w:rPr>
            </w:pPr>
          </w:p>
        </w:tc>
        <w:tc>
          <w:tcPr>
            <w:tcW w:w="3080"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仿宋_GB2312" w:hAnsi="宋体" w:eastAsia="仿宋_GB2312"/>
                <w:color w:val="000000"/>
                <w:kern w:val="0"/>
                <w:sz w:val="20"/>
                <w:szCs w:val="20"/>
              </w:rPr>
            </w:pPr>
          </w:p>
        </w:tc>
        <w:tc>
          <w:tcPr>
            <w:tcW w:w="4363" w:type="dxa"/>
            <w:tcBorders>
              <w:top w:val="nil"/>
              <w:left w:val="nil"/>
              <w:bottom w:val="single" w:color="auto" w:sz="4" w:space="0"/>
              <w:right w:val="single" w:color="auto" w:sz="4" w:space="0"/>
            </w:tcBorders>
            <w:vAlign w:val="center"/>
          </w:tcPr>
          <w:p>
            <w:pPr>
              <w:widowControl/>
              <w:spacing w:line="280" w:lineRule="exact"/>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④是否与预期确定的项目投资额或资金量相匹配。</w:t>
            </w:r>
          </w:p>
        </w:tc>
        <w:tc>
          <w:tcPr>
            <w:tcW w:w="524" w:type="dxa"/>
            <w:tcBorders>
              <w:top w:val="nil"/>
              <w:left w:val="nil"/>
              <w:bottom w:val="single" w:color="auto" w:sz="4" w:space="0"/>
              <w:right w:val="single" w:color="auto" w:sz="4" w:space="0"/>
            </w:tcBorders>
          </w:tcPr>
          <w:p>
            <w:pPr>
              <w:widowControl/>
              <w:spacing w:line="280" w:lineRule="exact"/>
              <w:rPr>
                <w:rFonts w:ascii="宋体" w:hAnsi="宋体"/>
                <w:color w:val="000000"/>
                <w:kern w:val="0"/>
                <w:sz w:val="24"/>
              </w:rPr>
            </w:pPr>
          </w:p>
        </w:tc>
      </w:tr>
      <w:tr>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宋体" w:hAnsi="宋体"/>
                <w:color w:val="000000"/>
                <w:kern w:val="0"/>
                <w:sz w:val="24"/>
              </w:rPr>
            </w:pPr>
          </w:p>
        </w:tc>
        <w:tc>
          <w:tcPr>
            <w:tcW w:w="710" w:type="dxa"/>
            <w:vMerge w:val="restart"/>
            <w:tcBorders>
              <w:top w:val="nil"/>
              <w:left w:val="single" w:color="auto" w:sz="4" w:space="0"/>
              <w:bottom w:val="single" w:color="000000" w:sz="4" w:space="0"/>
              <w:right w:val="single" w:color="auto" w:sz="4" w:space="0"/>
            </w:tcBorders>
            <w:vAlign w:val="center"/>
          </w:tcPr>
          <w:p>
            <w:pPr>
              <w:widowControl/>
              <w:spacing w:line="280" w:lineRule="exact"/>
              <w:jc w:val="center"/>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资金落实</w:t>
            </w:r>
          </w:p>
          <w:p>
            <w:pPr>
              <w:widowControl/>
              <w:spacing w:line="280" w:lineRule="exact"/>
              <w:jc w:val="center"/>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（8分）</w:t>
            </w:r>
          </w:p>
        </w:tc>
        <w:tc>
          <w:tcPr>
            <w:tcW w:w="1275" w:type="dxa"/>
            <w:vMerge w:val="restart"/>
            <w:tcBorders>
              <w:top w:val="nil"/>
              <w:left w:val="single" w:color="auto" w:sz="4" w:space="0"/>
              <w:bottom w:val="single" w:color="000000" w:sz="4" w:space="0"/>
              <w:right w:val="single" w:color="auto" w:sz="4" w:space="0"/>
            </w:tcBorders>
            <w:vAlign w:val="center"/>
          </w:tcPr>
          <w:p>
            <w:pPr>
              <w:widowControl/>
              <w:spacing w:line="280" w:lineRule="exact"/>
              <w:jc w:val="center"/>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资金到位率（4分）</w:t>
            </w:r>
          </w:p>
        </w:tc>
        <w:tc>
          <w:tcPr>
            <w:tcW w:w="3080" w:type="dxa"/>
            <w:vMerge w:val="restart"/>
            <w:tcBorders>
              <w:top w:val="nil"/>
              <w:left w:val="single" w:color="auto" w:sz="4" w:space="0"/>
              <w:bottom w:val="single" w:color="000000" w:sz="4" w:space="0"/>
              <w:right w:val="single" w:color="auto" w:sz="4" w:space="0"/>
            </w:tcBorders>
            <w:vAlign w:val="center"/>
          </w:tcPr>
          <w:p>
            <w:pPr>
              <w:widowControl/>
              <w:spacing w:line="280" w:lineRule="exact"/>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实际到位资金与计划投入资金的比率，用以反映和考核资金落实情况对项目实施的总体保障程度。</w:t>
            </w:r>
          </w:p>
        </w:tc>
        <w:tc>
          <w:tcPr>
            <w:tcW w:w="4363" w:type="dxa"/>
            <w:tcBorders>
              <w:top w:val="nil"/>
              <w:left w:val="nil"/>
              <w:bottom w:val="nil"/>
              <w:right w:val="single" w:color="auto" w:sz="4" w:space="0"/>
            </w:tcBorders>
            <w:vAlign w:val="center"/>
          </w:tcPr>
          <w:p>
            <w:pPr>
              <w:widowControl/>
              <w:spacing w:line="280" w:lineRule="exact"/>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资金到位率=（实际到位资金/计划投入资金）×100%。</w:t>
            </w:r>
          </w:p>
        </w:tc>
        <w:tc>
          <w:tcPr>
            <w:tcW w:w="524" w:type="dxa"/>
            <w:tcBorders>
              <w:top w:val="nil"/>
              <w:left w:val="nil"/>
              <w:bottom w:val="nil"/>
              <w:right w:val="single" w:color="auto" w:sz="4" w:space="0"/>
            </w:tcBorders>
          </w:tcPr>
          <w:p>
            <w:pPr>
              <w:widowControl/>
              <w:spacing w:line="280" w:lineRule="exact"/>
              <w:rPr>
                <w:rFonts w:ascii="宋体" w:hAnsi="宋体"/>
                <w:color w:val="000000"/>
                <w:kern w:val="0"/>
                <w:sz w:val="24"/>
              </w:rPr>
            </w:pPr>
          </w:p>
        </w:tc>
      </w:tr>
      <w:tr>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宋体" w:hAnsi="宋体"/>
                <w:color w:val="000000"/>
                <w:kern w:val="0"/>
                <w:sz w:val="24"/>
              </w:rPr>
            </w:pPr>
          </w:p>
        </w:tc>
        <w:tc>
          <w:tcPr>
            <w:tcW w:w="710"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宋体" w:hAnsi="宋体"/>
                <w:color w:val="000000"/>
                <w:kern w:val="0"/>
                <w:sz w:val="24"/>
              </w:rPr>
            </w:pPr>
          </w:p>
        </w:tc>
        <w:tc>
          <w:tcPr>
            <w:tcW w:w="1275"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仿宋_GB2312" w:hAnsi="宋体" w:eastAsia="仿宋_GB2312"/>
                <w:color w:val="000000"/>
                <w:kern w:val="0"/>
                <w:sz w:val="20"/>
                <w:szCs w:val="20"/>
              </w:rPr>
            </w:pPr>
          </w:p>
        </w:tc>
        <w:tc>
          <w:tcPr>
            <w:tcW w:w="3080"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仿宋_GB2312" w:hAnsi="宋体" w:eastAsia="仿宋_GB2312"/>
                <w:color w:val="000000"/>
                <w:kern w:val="0"/>
                <w:sz w:val="20"/>
                <w:szCs w:val="20"/>
              </w:rPr>
            </w:pPr>
          </w:p>
        </w:tc>
        <w:tc>
          <w:tcPr>
            <w:tcW w:w="4363" w:type="dxa"/>
            <w:tcBorders>
              <w:top w:val="nil"/>
              <w:left w:val="nil"/>
              <w:bottom w:val="nil"/>
              <w:right w:val="single" w:color="auto" w:sz="4" w:space="0"/>
            </w:tcBorders>
            <w:vAlign w:val="center"/>
          </w:tcPr>
          <w:p>
            <w:pPr>
              <w:widowControl/>
              <w:spacing w:line="280" w:lineRule="exact"/>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实际到位资金：一定时期（本年度或项目期）内实际落实到具体项目的资金。</w:t>
            </w:r>
          </w:p>
        </w:tc>
        <w:tc>
          <w:tcPr>
            <w:tcW w:w="524" w:type="dxa"/>
            <w:tcBorders>
              <w:top w:val="nil"/>
              <w:left w:val="nil"/>
              <w:bottom w:val="nil"/>
              <w:right w:val="single" w:color="auto" w:sz="4" w:space="0"/>
            </w:tcBorders>
          </w:tcPr>
          <w:p>
            <w:pPr>
              <w:widowControl/>
              <w:spacing w:line="280" w:lineRule="exact"/>
              <w:rPr>
                <w:rFonts w:ascii="宋体" w:hAnsi="宋体"/>
                <w:color w:val="000000"/>
                <w:kern w:val="0"/>
                <w:sz w:val="24"/>
              </w:rPr>
            </w:pPr>
            <w:r>
              <w:rPr>
                <w:rFonts w:hint="eastAsia" w:ascii="宋体" w:hAnsi="宋体"/>
                <w:color w:val="000000"/>
                <w:kern w:val="0"/>
                <w:sz w:val="24"/>
              </w:rPr>
              <w:t>4</w:t>
            </w:r>
          </w:p>
        </w:tc>
      </w:tr>
      <w:tr>
        <w:tblPrEx>
          <w:tblCellMar>
            <w:top w:w="0" w:type="dxa"/>
            <w:left w:w="108" w:type="dxa"/>
            <w:bottom w:w="0" w:type="dxa"/>
            <w:right w:w="108" w:type="dxa"/>
          </w:tblCellMar>
        </w:tblPrEx>
        <w:trPr>
          <w:trHeight w:val="1122" w:hRule="atLeast"/>
          <w:jc w:val="center"/>
        </w:trPr>
        <w:tc>
          <w:tcPr>
            <w:tcW w:w="656"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宋体" w:hAnsi="宋体"/>
                <w:color w:val="000000"/>
                <w:kern w:val="0"/>
                <w:sz w:val="24"/>
              </w:rPr>
            </w:pPr>
          </w:p>
        </w:tc>
        <w:tc>
          <w:tcPr>
            <w:tcW w:w="710"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宋体" w:hAnsi="宋体"/>
                <w:color w:val="000000"/>
                <w:kern w:val="0"/>
                <w:sz w:val="24"/>
              </w:rPr>
            </w:pPr>
          </w:p>
        </w:tc>
        <w:tc>
          <w:tcPr>
            <w:tcW w:w="1275"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仿宋_GB2312" w:hAnsi="宋体" w:eastAsia="仿宋_GB2312"/>
                <w:color w:val="000000"/>
                <w:kern w:val="0"/>
                <w:sz w:val="20"/>
                <w:szCs w:val="20"/>
              </w:rPr>
            </w:pPr>
          </w:p>
        </w:tc>
        <w:tc>
          <w:tcPr>
            <w:tcW w:w="3080"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仿宋_GB2312" w:hAnsi="宋体" w:eastAsia="仿宋_GB2312"/>
                <w:color w:val="000000"/>
                <w:kern w:val="0"/>
                <w:sz w:val="20"/>
                <w:szCs w:val="20"/>
              </w:rPr>
            </w:pPr>
          </w:p>
        </w:tc>
        <w:tc>
          <w:tcPr>
            <w:tcW w:w="4363" w:type="dxa"/>
            <w:tcBorders>
              <w:top w:val="nil"/>
              <w:left w:val="nil"/>
              <w:bottom w:val="single" w:color="auto" w:sz="4" w:space="0"/>
              <w:right w:val="single" w:color="auto" w:sz="4" w:space="0"/>
            </w:tcBorders>
            <w:vAlign w:val="center"/>
          </w:tcPr>
          <w:p>
            <w:pPr>
              <w:widowControl/>
              <w:spacing w:line="280" w:lineRule="exact"/>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计划投入资金：一定时期（本年度或项目期）内计划投入到具体项目的资金。</w:t>
            </w:r>
          </w:p>
        </w:tc>
        <w:tc>
          <w:tcPr>
            <w:tcW w:w="524" w:type="dxa"/>
            <w:tcBorders>
              <w:top w:val="nil"/>
              <w:left w:val="nil"/>
              <w:bottom w:val="single" w:color="auto" w:sz="4" w:space="0"/>
              <w:right w:val="single" w:color="auto" w:sz="4" w:space="0"/>
            </w:tcBorders>
          </w:tcPr>
          <w:p>
            <w:pPr>
              <w:widowControl/>
              <w:spacing w:line="280" w:lineRule="exact"/>
              <w:rPr>
                <w:rFonts w:ascii="宋体" w:hAnsi="宋体"/>
                <w:color w:val="000000"/>
                <w:kern w:val="0"/>
                <w:sz w:val="24"/>
              </w:rPr>
            </w:pPr>
          </w:p>
        </w:tc>
      </w:tr>
      <w:tr>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宋体" w:hAnsi="宋体"/>
                <w:color w:val="000000"/>
                <w:kern w:val="0"/>
                <w:sz w:val="24"/>
              </w:rPr>
            </w:pPr>
          </w:p>
        </w:tc>
        <w:tc>
          <w:tcPr>
            <w:tcW w:w="710"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宋体" w:hAnsi="宋体"/>
                <w:color w:val="000000"/>
                <w:kern w:val="0"/>
                <w:sz w:val="24"/>
              </w:rPr>
            </w:pPr>
          </w:p>
        </w:tc>
        <w:tc>
          <w:tcPr>
            <w:tcW w:w="1275" w:type="dxa"/>
            <w:vMerge w:val="restart"/>
            <w:tcBorders>
              <w:top w:val="nil"/>
              <w:left w:val="single" w:color="auto" w:sz="4" w:space="0"/>
              <w:bottom w:val="single" w:color="000000" w:sz="4" w:space="0"/>
              <w:right w:val="single" w:color="auto" w:sz="4" w:space="0"/>
            </w:tcBorders>
            <w:vAlign w:val="center"/>
          </w:tcPr>
          <w:p>
            <w:pPr>
              <w:widowControl/>
              <w:spacing w:line="280" w:lineRule="exact"/>
              <w:jc w:val="center"/>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到位及时率（4分）</w:t>
            </w:r>
          </w:p>
        </w:tc>
        <w:tc>
          <w:tcPr>
            <w:tcW w:w="3080" w:type="dxa"/>
            <w:vMerge w:val="restart"/>
            <w:tcBorders>
              <w:top w:val="nil"/>
              <w:left w:val="single" w:color="auto" w:sz="4" w:space="0"/>
              <w:bottom w:val="single" w:color="000000" w:sz="4" w:space="0"/>
              <w:right w:val="single" w:color="auto" w:sz="4" w:space="0"/>
            </w:tcBorders>
            <w:vAlign w:val="center"/>
          </w:tcPr>
          <w:p>
            <w:pPr>
              <w:widowControl/>
              <w:spacing w:line="280" w:lineRule="exact"/>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及时到位资金与应到位资金的比率，用以反映和考核项目资金落实的及时性程度。</w:t>
            </w:r>
          </w:p>
        </w:tc>
        <w:tc>
          <w:tcPr>
            <w:tcW w:w="4363" w:type="dxa"/>
            <w:tcBorders>
              <w:top w:val="nil"/>
              <w:left w:val="nil"/>
              <w:bottom w:val="nil"/>
              <w:right w:val="single" w:color="auto" w:sz="4" w:space="0"/>
            </w:tcBorders>
            <w:vAlign w:val="center"/>
          </w:tcPr>
          <w:p>
            <w:pPr>
              <w:widowControl/>
              <w:spacing w:line="280" w:lineRule="exact"/>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到位及时率＝（及时到位资金/应到位资金）×100%。</w:t>
            </w:r>
          </w:p>
        </w:tc>
        <w:tc>
          <w:tcPr>
            <w:tcW w:w="524" w:type="dxa"/>
            <w:tcBorders>
              <w:top w:val="nil"/>
              <w:left w:val="nil"/>
              <w:bottom w:val="nil"/>
              <w:right w:val="single" w:color="auto" w:sz="4" w:space="0"/>
            </w:tcBorders>
          </w:tcPr>
          <w:p>
            <w:pPr>
              <w:widowControl/>
              <w:spacing w:line="280" w:lineRule="exact"/>
              <w:rPr>
                <w:rFonts w:ascii="宋体" w:hAnsi="宋体"/>
                <w:color w:val="000000"/>
                <w:kern w:val="0"/>
                <w:sz w:val="24"/>
              </w:rPr>
            </w:pPr>
          </w:p>
        </w:tc>
      </w:tr>
      <w:tr>
        <w:tblPrEx>
          <w:tblCellMar>
            <w:top w:w="0" w:type="dxa"/>
            <w:left w:w="108" w:type="dxa"/>
            <w:bottom w:w="0" w:type="dxa"/>
            <w:right w:w="108" w:type="dxa"/>
          </w:tblCellMar>
        </w:tblPrEx>
        <w:trPr>
          <w:jc w:val="center"/>
        </w:trPr>
        <w:tc>
          <w:tcPr>
            <w:tcW w:w="656"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宋体" w:hAnsi="宋体"/>
                <w:color w:val="000000"/>
                <w:kern w:val="0"/>
                <w:sz w:val="24"/>
              </w:rPr>
            </w:pPr>
          </w:p>
        </w:tc>
        <w:tc>
          <w:tcPr>
            <w:tcW w:w="710"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宋体" w:hAnsi="宋体"/>
                <w:color w:val="000000"/>
                <w:kern w:val="0"/>
                <w:sz w:val="24"/>
              </w:rPr>
            </w:pPr>
          </w:p>
        </w:tc>
        <w:tc>
          <w:tcPr>
            <w:tcW w:w="1275"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仿宋_GB2312" w:hAnsi="宋体" w:eastAsia="仿宋_GB2312"/>
                <w:color w:val="000000"/>
                <w:kern w:val="0"/>
                <w:sz w:val="20"/>
                <w:szCs w:val="20"/>
              </w:rPr>
            </w:pPr>
          </w:p>
        </w:tc>
        <w:tc>
          <w:tcPr>
            <w:tcW w:w="3080"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仿宋_GB2312" w:hAnsi="宋体" w:eastAsia="仿宋_GB2312"/>
                <w:color w:val="000000"/>
                <w:kern w:val="0"/>
                <w:sz w:val="20"/>
                <w:szCs w:val="20"/>
              </w:rPr>
            </w:pPr>
          </w:p>
        </w:tc>
        <w:tc>
          <w:tcPr>
            <w:tcW w:w="4363" w:type="dxa"/>
            <w:tcBorders>
              <w:top w:val="nil"/>
              <w:left w:val="nil"/>
              <w:bottom w:val="nil"/>
              <w:right w:val="single" w:color="auto" w:sz="4" w:space="0"/>
            </w:tcBorders>
            <w:vAlign w:val="center"/>
          </w:tcPr>
          <w:p>
            <w:pPr>
              <w:widowControl/>
              <w:spacing w:line="280" w:lineRule="exact"/>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及时到位资金：截至规定时点实际落实到具体项目的资金。</w:t>
            </w:r>
          </w:p>
        </w:tc>
        <w:tc>
          <w:tcPr>
            <w:tcW w:w="524" w:type="dxa"/>
            <w:tcBorders>
              <w:top w:val="nil"/>
              <w:left w:val="nil"/>
              <w:bottom w:val="nil"/>
              <w:right w:val="single" w:color="auto" w:sz="4" w:space="0"/>
            </w:tcBorders>
          </w:tcPr>
          <w:p>
            <w:pPr>
              <w:widowControl/>
              <w:spacing w:line="280" w:lineRule="exact"/>
              <w:rPr>
                <w:rFonts w:ascii="宋体" w:hAnsi="宋体"/>
                <w:color w:val="000000"/>
                <w:kern w:val="0"/>
                <w:sz w:val="24"/>
              </w:rPr>
            </w:pPr>
            <w:r>
              <w:rPr>
                <w:rFonts w:hint="eastAsia" w:ascii="宋体" w:hAnsi="宋体"/>
                <w:color w:val="000000"/>
                <w:kern w:val="0"/>
                <w:sz w:val="24"/>
              </w:rPr>
              <w:t>4</w:t>
            </w:r>
          </w:p>
        </w:tc>
      </w:tr>
      <w:tr>
        <w:tblPrEx>
          <w:tblCellMar>
            <w:top w:w="0" w:type="dxa"/>
            <w:left w:w="108" w:type="dxa"/>
            <w:bottom w:w="0" w:type="dxa"/>
            <w:right w:w="108" w:type="dxa"/>
          </w:tblCellMar>
        </w:tblPrEx>
        <w:trPr>
          <w:trHeight w:val="890" w:hRule="atLeast"/>
          <w:jc w:val="center"/>
        </w:trPr>
        <w:tc>
          <w:tcPr>
            <w:tcW w:w="656"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宋体" w:hAnsi="宋体"/>
                <w:color w:val="000000"/>
                <w:kern w:val="0"/>
                <w:sz w:val="24"/>
              </w:rPr>
            </w:pPr>
          </w:p>
        </w:tc>
        <w:tc>
          <w:tcPr>
            <w:tcW w:w="710"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宋体" w:hAnsi="宋体"/>
                <w:color w:val="000000"/>
                <w:kern w:val="0"/>
                <w:sz w:val="24"/>
              </w:rPr>
            </w:pPr>
          </w:p>
        </w:tc>
        <w:tc>
          <w:tcPr>
            <w:tcW w:w="1275"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仿宋_GB2312" w:hAnsi="宋体" w:eastAsia="仿宋_GB2312"/>
                <w:color w:val="000000"/>
                <w:kern w:val="0"/>
                <w:sz w:val="20"/>
                <w:szCs w:val="20"/>
              </w:rPr>
            </w:pPr>
          </w:p>
        </w:tc>
        <w:tc>
          <w:tcPr>
            <w:tcW w:w="3080" w:type="dxa"/>
            <w:vMerge w:val="continue"/>
            <w:tcBorders>
              <w:top w:val="nil"/>
              <w:left w:val="single" w:color="auto" w:sz="4" w:space="0"/>
              <w:bottom w:val="single" w:color="auto" w:sz="4" w:space="0"/>
              <w:right w:val="single" w:color="auto" w:sz="4" w:space="0"/>
            </w:tcBorders>
            <w:vAlign w:val="center"/>
          </w:tcPr>
          <w:p>
            <w:pPr>
              <w:widowControl/>
              <w:spacing w:line="280" w:lineRule="exact"/>
              <w:jc w:val="left"/>
              <w:rPr>
                <w:rFonts w:ascii="仿宋_GB2312" w:hAnsi="宋体" w:eastAsia="仿宋_GB2312"/>
                <w:color w:val="000000"/>
                <w:kern w:val="0"/>
                <w:sz w:val="20"/>
                <w:szCs w:val="20"/>
              </w:rPr>
            </w:pPr>
          </w:p>
        </w:tc>
        <w:tc>
          <w:tcPr>
            <w:tcW w:w="4363" w:type="dxa"/>
            <w:tcBorders>
              <w:top w:val="nil"/>
              <w:left w:val="nil"/>
              <w:bottom w:val="single" w:color="auto" w:sz="4" w:space="0"/>
              <w:right w:val="single" w:color="auto" w:sz="4" w:space="0"/>
            </w:tcBorders>
            <w:vAlign w:val="center"/>
          </w:tcPr>
          <w:p>
            <w:pPr>
              <w:widowControl/>
              <w:spacing w:line="280" w:lineRule="exact"/>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应到位资金：按照合同或项目进度要求截至规定时点应落实到具体项目的资金。</w:t>
            </w:r>
          </w:p>
        </w:tc>
        <w:tc>
          <w:tcPr>
            <w:tcW w:w="524" w:type="dxa"/>
            <w:tcBorders>
              <w:top w:val="nil"/>
              <w:left w:val="nil"/>
              <w:bottom w:val="single" w:color="auto" w:sz="4" w:space="0"/>
              <w:right w:val="single" w:color="auto" w:sz="4" w:space="0"/>
            </w:tcBorders>
          </w:tcPr>
          <w:p>
            <w:pPr>
              <w:widowControl/>
              <w:spacing w:line="280" w:lineRule="exact"/>
              <w:rPr>
                <w:rFonts w:ascii="宋体" w:hAnsi="宋体"/>
                <w:color w:val="000000"/>
                <w:kern w:val="0"/>
                <w:sz w:val="24"/>
              </w:rPr>
            </w:pPr>
          </w:p>
        </w:tc>
      </w:tr>
      <w:tr>
        <w:tblPrEx>
          <w:tblCellMar>
            <w:top w:w="0" w:type="dxa"/>
            <w:left w:w="108" w:type="dxa"/>
            <w:bottom w:w="0" w:type="dxa"/>
            <w:right w:w="108" w:type="dxa"/>
          </w:tblCellMar>
        </w:tblPrEx>
        <w:trPr>
          <w:jc w:val="center"/>
        </w:trPr>
        <w:tc>
          <w:tcPr>
            <w:tcW w:w="656" w:type="dxa"/>
            <w:vMerge w:val="restart"/>
            <w:tcBorders>
              <w:top w:val="nil"/>
              <w:left w:val="single" w:color="auto" w:sz="4" w:space="0"/>
              <w:right w:val="single" w:color="auto" w:sz="4" w:space="0"/>
            </w:tcBorders>
            <w:vAlign w:val="center"/>
          </w:tcPr>
          <w:p>
            <w:pPr>
              <w:jc w:val="center"/>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过程</w:t>
            </w:r>
          </w:p>
          <w:p>
            <w:pPr>
              <w:jc w:val="center"/>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（30分）</w:t>
            </w:r>
          </w:p>
        </w:tc>
        <w:tc>
          <w:tcPr>
            <w:tcW w:w="710" w:type="dxa"/>
            <w:vMerge w:val="restart"/>
            <w:tcBorders>
              <w:top w:val="nil"/>
              <w:left w:val="single" w:color="auto" w:sz="4" w:space="0"/>
              <w:right w:val="single" w:color="auto" w:sz="4" w:space="0"/>
            </w:tcBorders>
            <w:vAlign w:val="center"/>
          </w:tcPr>
          <w:p>
            <w:pPr>
              <w:widowControl/>
              <w:spacing w:line="280" w:lineRule="exact"/>
              <w:jc w:val="center"/>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业务管理</w:t>
            </w:r>
          </w:p>
          <w:p>
            <w:pPr>
              <w:widowControl/>
              <w:spacing w:line="280" w:lineRule="exact"/>
              <w:jc w:val="center"/>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（10分）</w:t>
            </w:r>
          </w:p>
          <w:p>
            <w:pPr>
              <w:jc w:val="left"/>
              <w:rPr>
                <w:rFonts w:ascii="仿宋_GB2312" w:hAnsi="宋体" w:eastAsia="仿宋_GB2312"/>
                <w:color w:val="000000"/>
                <w:kern w:val="0"/>
                <w:sz w:val="20"/>
                <w:szCs w:val="20"/>
              </w:rPr>
            </w:pPr>
          </w:p>
        </w:tc>
        <w:tc>
          <w:tcPr>
            <w:tcW w:w="1275" w:type="dxa"/>
            <w:vMerge w:val="restart"/>
            <w:tcBorders>
              <w:top w:val="nil"/>
              <w:left w:val="single" w:color="auto" w:sz="4" w:space="0"/>
              <w:bottom w:val="single" w:color="000000" w:sz="4" w:space="0"/>
              <w:right w:val="single" w:color="auto" w:sz="4" w:space="0"/>
            </w:tcBorders>
            <w:vAlign w:val="center"/>
          </w:tcPr>
          <w:p>
            <w:pPr>
              <w:widowControl/>
              <w:spacing w:line="280" w:lineRule="exact"/>
              <w:jc w:val="center"/>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管理制度健全</w:t>
            </w:r>
          </w:p>
          <w:p>
            <w:pPr>
              <w:widowControl/>
              <w:spacing w:line="280" w:lineRule="exact"/>
              <w:jc w:val="center"/>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（3分）</w:t>
            </w:r>
          </w:p>
        </w:tc>
        <w:tc>
          <w:tcPr>
            <w:tcW w:w="3080" w:type="dxa"/>
            <w:vMerge w:val="restart"/>
            <w:tcBorders>
              <w:top w:val="single" w:color="auto" w:sz="4" w:space="0"/>
              <w:left w:val="single" w:color="auto" w:sz="4" w:space="0"/>
              <w:bottom w:val="single" w:color="000000" w:sz="4" w:space="0"/>
              <w:right w:val="single" w:color="auto" w:sz="4" w:space="0"/>
            </w:tcBorders>
            <w:vAlign w:val="center"/>
          </w:tcPr>
          <w:p>
            <w:pPr>
              <w:widowControl/>
              <w:spacing w:line="280" w:lineRule="exact"/>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项目实施单位的业务管理制度是否健全，用以反映和考核业务管理制度对项目顺利实施的保障情况。</w:t>
            </w:r>
          </w:p>
        </w:tc>
        <w:tc>
          <w:tcPr>
            <w:tcW w:w="4363" w:type="dxa"/>
            <w:tcBorders>
              <w:top w:val="single" w:color="auto" w:sz="4" w:space="0"/>
              <w:left w:val="nil"/>
              <w:bottom w:val="nil"/>
              <w:right w:val="single" w:color="auto" w:sz="4" w:space="0"/>
            </w:tcBorders>
            <w:vAlign w:val="center"/>
          </w:tcPr>
          <w:p>
            <w:pPr>
              <w:widowControl/>
              <w:spacing w:line="280" w:lineRule="exact"/>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评价要点：</w:t>
            </w:r>
          </w:p>
        </w:tc>
        <w:tc>
          <w:tcPr>
            <w:tcW w:w="524" w:type="dxa"/>
            <w:tcBorders>
              <w:top w:val="single" w:color="auto" w:sz="4" w:space="0"/>
              <w:left w:val="single" w:color="auto" w:sz="4" w:space="0"/>
              <w:bottom w:val="nil"/>
              <w:right w:val="single" w:color="auto" w:sz="4" w:space="0"/>
            </w:tcBorders>
          </w:tcPr>
          <w:p>
            <w:pPr>
              <w:widowControl/>
              <w:spacing w:line="280" w:lineRule="exact"/>
              <w:rPr>
                <w:rFonts w:ascii="宋体" w:hAnsi="宋体"/>
                <w:color w:val="000000"/>
                <w:kern w:val="0"/>
                <w:sz w:val="24"/>
              </w:rPr>
            </w:pPr>
          </w:p>
        </w:tc>
      </w:tr>
      <w:tr>
        <w:tblPrEx>
          <w:tblCellMar>
            <w:top w:w="0" w:type="dxa"/>
            <w:left w:w="108" w:type="dxa"/>
            <w:bottom w:w="0" w:type="dxa"/>
            <w:right w:w="108" w:type="dxa"/>
          </w:tblCellMar>
        </w:tblPrEx>
        <w:trPr>
          <w:jc w:val="center"/>
        </w:trPr>
        <w:tc>
          <w:tcPr>
            <w:tcW w:w="656" w:type="dxa"/>
            <w:vMerge w:val="continue"/>
            <w:tcBorders>
              <w:left w:val="single" w:color="auto" w:sz="4" w:space="0"/>
              <w:right w:val="single" w:color="auto" w:sz="4" w:space="0"/>
            </w:tcBorders>
            <w:vAlign w:val="center"/>
          </w:tcPr>
          <w:p>
            <w:pPr>
              <w:jc w:val="center"/>
              <w:rPr>
                <w:rFonts w:ascii="仿宋_GB2312" w:hAnsi="宋体" w:eastAsia="仿宋_GB2312"/>
                <w:color w:val="000000"/>
                <w:kern w:val="0"/>
                <w:sz w:val="20"/>
                <w:szCs w:val="20"/>
              </w:rPr>
            </w:pPr>
          </w:p>
        </w:tc>
        <w:tc>
          <w:tcPr>
            <w:tcW w:w="710" w:type="dxa"/>
            <w:vMerge w:val="continue"/>
            <w:tcBorders>
              <w:left w:val="single" w:color="auto" w:sz="4" w:space="0"/>
              <w:right w:val="single" w:color="auto" w:sz="4" w:space="0"/>
            </w:tcBorders>
            <w:vAlign w:val="center"/>
          </w:tcPr>
          <w:p>
            <w:pPr>
              <w:jc w:val="left"/>
              <w:rPr>
                <w:rFonts w:ascii="仿宋_GB2312" w:hAnsi="宋体" w:eastAsia="仿宋_GB2312"/>
                <w:color w:val="000000"/>
                <w:kern w:val="0"/>
                <w:sz w:val="20"/>
                <w:szCs w:val="20"/>
              </w:rPr>
            </w:pPr>
          </w:p>
        </w:tc>
        <w:tc>
          <w:tcPr>
            <w:tcW w:w="1275"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仿宋_GB2312" w:hAnsi="宋体" w:eastAsia="仿宋_GB2312"/>
                <w:color w:val="000000"/>
                <w:kern w:val="0"/>
                <w:sz w:val="20"/>
                <w:szCs w:val="20"/>
              </w:rPr>
            </w:pPr>
          </w:p>
        </w:tc>
        <w:tc>
          <w:tcPr>
            <w:tcW w:w="3080" w:type="dxa"/>
            <w:vMerge w:val="continue"/>
            <w:tcBorders>
              <w:top w:val="nil"/>
              <w:left w:val="single" w:color="auto" w:sz="4" w:space="0"/>
              <w:bottom w:val="single" w:color="auto" w:sz="4" w:space="0"/>
              <w:right w:val="single" w:color="auto" w:sz="4" w:space="0"/>
            </w:tcBorders>
            <w:vAlign w:val="center"/>
          </w:tcPr>
          <w:p>
            <w:pPr>
              <w:widowControl/>
              <w:spacing w:line="280" w:lineRule="exact"/>
              <w:jc w:val="left"/>
              <w:rPr>
                <w:rFonts w:ascii="仿宋_GB2312" w:hAnsi="宋体" w:eastAsia="仿宋_GB2312"/>
                <w:color w:val="000000"/>
                <w:kern w:val="0"/>
                <w:sz w:val="20"/>
                <w:szCs w:val="20"/>
              </w:rPr>
            </w:pPr>
          </w:p>
        </w:tc>
        <w:tc>
          <w:tcPr>
            <w:tcW w:w="4363" w:type="dxa"/>
            <w:tcBorders>
              <w:top w:val="nil"/>
              <w:left w:val="nil"/>
              <w:bottom w:val="single" w:color="auto" w:sz="4" w:space="0"/>
              <w:right w:val="single" w:color="auto" w:sz="4" w:space="0"/>
            </w:tcBorders>
            <w:vAlign w:val="center"/>
          </w:tcPr>
          <w:p>
            <w:pPr>
              <w:widowControl/>
              <w:spacing w:line="280" w:lineRule="exact"/>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①是否已制定或具有相应的业务管理制度；</w:t>
            </w:r>
          </w:p>
        </w:tc>
        <w:tc>
          <w:tcPr>
            <w:tcW w:w="524" w:type="dxa"/>
            <w:tcBorders>
              <w:top w:val="nil"/>
              <w:left w:val="single" w:color="auto" w:sz="4" w:space="0"/>
              <w:bottom w:val="nil"/>
              <w:right w:val="single" w:color="auto" w:sz="4" w:space="0"/>
            </w:tcBorders>
          </w:tcPr>
          <w:p>
            <w:pPr>
              <w:widowControl/>
              <w:spacing w:line="280" w:lineRule="exact"/>
              <w:rPr>
                <w:rFonts w:ascii="宋体" w:hAnsi="宋体"/>
                <w:color w:val="000000"/>
                <w:kern w:val="0"/>
                <w:sz w:val="24"/>
              </w:rPr>
            </w:pPr>
            <w:r>
              <w:rPr>
                <w:rFonts w:hint="eastAsia" w:ascii="宋体" w:hAnsi="宋体"/>
                <w:color w:val="000000"/>
                <w:kern w:val="0"/>
                <w:sz w:val="24"/>
              </w:rPr>
              <w:t>3</w:t>
            </w:r>
          </w:p>
        </w:tc>
      </w:tr>
      <w:tr>
        <w:tblPrEx>
          <w:tblCellMar>
            <w:top w:w="0" w:type="dxa"/>
            <w:left w:w="108" w:type="dxa"/>
            <w:bottom w:w="0" w:type="dxa"/>
            <w:right w:w="108" w:type="dxa"/>
          </w:tblCellMar>
        </w:tblPrEx>
        <w:trPr>
          <w:trHeight w:val="383" w:hRule="atLeast"/>
          <w:jc w:val="center"/>
        </w:trPr>
        <w:tc>
          <w:tcPr>
            <w:tcW w:w="656" w:type="dxa"/>
            <w:vMerge w:val="continue"/>
            <w:tcBorders>
              <w:left w:val="single" w:color="auto" w:sz="4" w:space="0"/>
              <w:right w:val="single" w:color="auto" w:sz="4" w:space="0"/>
            </w:tcBorders>
            <w:vAlign w:val="center"/>
          </w:tcPr>
          <w:p>
            <w:pPr>
              <w:jc w:val="center"/>
              <w:rPr>
                <w:rFonts w:ascii="仿宋_GB2312" w:hAnsi="宋体" w:eastAsia="仿宋_GB2312"/>
                <w:color w:val="000000"/>
                <w:kern w:val="0"/>
                <w:sz w:val="20"/>
                <w:szCs w:val="20"/>
              </w:rPr>
            </w:pPr>
          </w:p>
        </w:tc>
        <w:tc>
          <w:tcPr>
            <w:tcW w:w="710" w:type="dxa"/>
            <w:vMerge w:val="continue"/>
            <w:tcBorders>
              <w:left w:val="single" w:color="auto" w:sz="4" w:space="0"/>
              <w:right w:val="single" w:color="auto" w:sz="4" w:space="0"/>
            </w:tcBorders>
            <w:vAlign w:val="center"/>
          </w:tcPr>
          <w:p>
            <w:pPr>
              <w:jc w:val="left"/>
              <w:rPr>
                <w:rFonts w:ascii="仿宋_GB2312" w:hAnsi="宋体" w:eastAsia="仿宋_GB2312"/>
                <w:color w:val="000000"/>
                <w:kern w:val="0"/>
                <w:sz w:val="20"/>
                <w:szCs w:val="20"/>
              </w:rPr>
            </w:pPr>
          </w:p>
        </w:tc>
        <w:tc>
          <w:tcPr>
            <w:tcW w:w="1275"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仿宋_GB2312" w:hAnsi="宋体" w:eastAsia="仿宋_GB2312"/>
                <w:color w:val="000000"/>
                <w:kern w:val="0"/>
                <w:sz w:val="20"/>
                <w:szCs w:val="20"/>
              </w:rPr>
            </w:pPr>
          </w:p>
        </w:tc>
        <w:tc>
          <w:tcPr>
            <w:tcW w:w="308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80" w:lineRule="exact"/>
              <w:jc w:val="left"/>
              <w:rPr>
                <w:rFonts w:ascii="仿宋_GB2312" w:hAnsi="宋体" w:eastAsia="仿宋_GB2312"/>
                <w:color w:val="000000"/>
                <w:kern w:val="0"/>
                <w:sz w:val="20"/>
                <w:szCs w:val="20"/>
              </w:rPr>
            </w:pPr>
          </w:p>
        </w:tc>
        <w:tc>
          <w:tcPr>
            <w:tcW w:w="4363" w:type="dxa"/>
            <w:tcBorders>
              <w:top w:val="single" w:color="auto" w:sz="4" w:space="0"/>
              <w:left w:val="single" w:color="auto" w:sz="4" w:space="0"/>
              <w:bottom w:val="single" w:color="auto" w:sz="4" w:space="0"/>
              <w:right w:val="single" w:color="auto" w:sz="4" w:space="0"/>
            </w:tcBorders>
            <w:vAlign w:val="center"/>
          </w:tcPr>
          <w:p>
            <w:pPr>
              <w:widowControl/>
              <w:spacing w:line="280" w:lineRule="exact"/>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②业务管理制度是否合法、合规、完整。</w:t>
            </w:r>
          </w:p>
        </w:tc>
        <w:tc>
          <w:tcPr>
            <w:tcW w:w="524" w:type="dxa"/>
            <w:tcBorders>
              <w:top w:val="nil"/>
              <w:left w:val="single" w:color="auto" w:sz="4" w:space="0"/>
              <w:bottom w:val="single" w:color="auto" w:sz="4" w:space="0"/>
              <w:right w:val="single" w:color="auto" w:sz="4" w:space="0"/>
            </w:tcBorders>
          </w:tcPr>
          <w:p>
            <w:pPr>
              <w:widowControl/>
              <w:spacing w:line="280" w:lineRule="exact"/>
              <w:rPr>
                <w:rFonts w:ascii="宋体" w:hAnsi="宋体"/>
                <w:color w:val="000000"/>
                <w:kern w:val="0"/>
                <w:sz w:val="24"/>
              </w:rPr>
            </w:pPr>
          </w:p>
        </w:tc>
      </w:tr>
      <w:tr>
        <w:tblPrEx>
          <w:tblCellMar>
            <w:top w:w="0" w:type="dxa"/>
            <w:left w:w="108" w:type="dxa"/>
            <w:bottom w:w="0" w:type="dxa"/>
            <w:right w:w="108" w:type="dxa"/>
          </w:tblCellMar>
        </w:tblPrEx>
        <w:trPr>
          <w:jc w:val="center"/>
        </w:trPr>
        <w:tc>
          <w:tcPr>
            <w:tcW w:w="656" w:type="dxa"/>
            <w:vMerge w:val="continue"/>
            <w:tcBorders>
              <w:left w:val="single" w:color="auto" w:sz="4" w:space="0"/>
              <w:bottom w:val="single" w:color="auto" w:sz="4" w:space="0"/>
              <w:right w:val="single" w:color="auto" w:sz="4" w:space="0"/>
            </w:tcBorders>
            <w:vAlign w:val="center"/>
          </w:tcPr>
          <w:p>
            <w:pPr>
              <w:jc w:val="center"/>
              <w:rPr>
                <w:rFonts w:ascii="仿宋_GB2312" w:hAnsi="宋体" w:eastAsia="仿宋_GB2312"/>
                <w:color w:val="000000"/>
                <w:kern w:val="0"/>
                <w:sz w:val="20"/>
                <w:szCs w:val="20"/>
              </w:rPr>
            </w:pPr>
          </w:p>
        </w:tc>
        <w:tc>
          <w:tcPr>
            <w:tcW w:w="710" w:type="dxa"/>
            <w:vMerge w:val="continue"/>
            <w:tcBorders>
              <w:left w:val="single" w:color="auto" w:sz="4" w:space="0"/>
              <w:bottom w:val="single" w:color="auto" w:sz="4" w:space="0"/>
              <w:right w:val="single" w:color="auto" w:sz="4" w:space="0"/>
            </w:tcBorders>
            <w:vAlign w:val="center"/>
          </w:tcPr>
          <w:p>
            <w:pPr>
              <w:jc w:val="left"/>
              <w:rPr>
                <w:rFonts w:ascii="仿宋_GB2312" w:hAnsi="宋体" w:eastAsia="仿宋_GB2312"/>
                <w:color w:val="000000"/>
                <w:kern w:val="0"/>
                <w:sz w:val="20"/>
                <w:szCs w:val="20"/>
              </w:rPr>
            </w:pPr>
          </w:p>
        </w:tc>
        <w:tc>
          <w:tcPr>
            <w:tcW w:w="1275" w:type="dxa"/>
            <w:vMerge w:val="restart"/>
            <w:tcBorders>
              <w:top w:val="nil"/>
              <w:left w:val="single" w:color="auto" w:sz="4" w:space="0"/>
              <w:bottom w:val="single" w:color="auto" w:sz="4" w:space="0"/>
              <w:right w:val="single" w:color="auto" w:sz="4" w:space="0"/>
            </w:tcBorders>
            <w:vAlign w:val="center"/>
          </w:tcPr>
          <w:p>
            <w:pPr>
              <w:widowControl/>
              <w:spacing w:line="280" w:lineRule="exact"/>
              <w:jc w:val="center"/>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制度执行有效性</w:t>
            </w:r>
          </w:p>
          <w:p>
            <w:pPr>
              <w:widowControl/>
              <w:spacing w:line="280" w:lineRule="exact"/>
              <w:jc w:val="center"/>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（3分）</w:t>
            </w:r>
          </w:p>
        </w:tc>
        <w:tc>
          <w:tcPr>
            <w:tcW w:w="3080" w:type="dxa"/>
            <w:vMerge w:val="restart"/>
            <w:tcBorders>
              <w:top w:val="nil"/>
              <w:left w:val="single" w:color="auto" w:sz="4" w:space="0"/>
              <w:bottom w:val="single" w:color="000000" w:sz="4" w:space="0"/>
              <w:right w:val="single" w:color="auto" w:sz="4" w:space="0"/>
            </w:tcBorders>
            <w:vAlign w:val="center"/>
          </w:tcPr>
          <w:p>
            <w:pPr>
              <w:widowControl/>
              <w:spacing w:line="280" w:lineRule="exact"/>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项目实施是否符合相关业务管理规定，用以反映和考核业务管理制度的有效执行情况。</w:t>
            </w:r>
          </w:p>
        </w:tc>
        <w:tc>
          <w:tcPr>
            <w:tcW w:w="4363" w:type="dxa"/>
            <w:tcBorders>
              <w:top w:val="nil"/>
              <w:left w:val="single" w:color="auto" w:sz="4" w:space="0"/>
              <w:bottom w:val="single" w:color="auto" w:sz="4" w:space="0"/>
              <w:right w:val="single" w:color="auto" w:sz="4" w:space="0"/>
            </w:tcBorders>
            <w:vAlign w:val="center"/>
          </w:tcPr>
          <w:p>
            <w:pPr>
              <w:widowControl/>
              <w:spacing w:line="280" w:lineRule="exact"/>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评价要点：</w:t>
            </w:r>
          </w:p>
        </w:tc>
        <w:tc>
          <w:tcPr>
            <w:tcW w:w="524" w:type="dxa"/>
            <w:tcBorders>
              <w:top w:val="single" w:color="auto" w:sz="4" w:space="0"/>
              <w:left w:val="nil"/>
              <w:bottom w:val="single" w:color="auto" w:sz="4" w:space="0"/>
              <w:right w:val="single" w:color="auto" w:sz="4" w:space="0"/>
            </w:tcBorders>
          </w:tcPr>
          <w:p>
            <w:pPr>
              <w:widowControl/>
              <w:spacing w:line="280" w:lineRule="exact"/>
              <w:rPr>
                <w:rFonts w:ascii="宋体" w:hAnsi="宋体"/>
                <w:color w:val="000000"/>
                <w:kern w:val="0"/>
                <w:sz w:val="24"/>
              </w:rPr>
            </w:pPr>
          </w:p>
        </w:tc>
      </w:tr>
      <w:tr>
        <w:tblPrEx>
          <w:tblCellMar>
            <w:top w:w="0" w:type="dxa"/>
            <w:left w:w="108" w:type="dxa"/>
            <w:bottom w:w="0" w:type="dxa"/>
            <w:right w:w="108" w:type="dxa"/>
          </w:tblCellMar>
        </w:tblPrEx>
        <w:trPr>
          <w:jc w:val="center"/>
        </w:trPr>
        <w:tc>
          <w:tcPr>
            <w:tcW w:w="656"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kern w:val="0"/>
                <w:sz w:val="24"/>
              </w:rPr>
            </w:pPr>
          </w:p>
        </w:tc>
        <w:tc>
          <w:tcPr>
            <w:tcW w:w="710"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000000"/>
                <w:kern w:val="0"/>
                <w:sz w:val="24"/>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0" w:lineRule="exact"/>
              <w:jc w:val="left"/>
              <w:rPr>
                <w:rFonts w:ascii="宋体" w:hAnsi="宋体"/>
                <w:color w:val="000000"/>
                <w:kern w:val="0"/>
                <w:sz w:val="24"/>
              </w:rPr>
            </w:pPr>
          </w:p>
        </w:tc>
        <w:tc>
          <w:tcPr>
            <w:tcW w:w="3080"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宋体" w:hAnsi="宋体"/>
                <w:color w:val="000000"/>
                <w:kern w:val="0"/>
                <w:sz w:val="24"/>
              </w:rPr>
            </w:pPr>
          </w:p>
        </w:tc>
        <w:tc>
          <w:tcPr>
            <w:tcW w:w="4363" w:type="dxa"/>
            <w:tcBorders>
              <w:top w:val="single" w:color="auto" w:sz="4" w:space="0"/>
              <w:left w:val="nil"/>
              <w:bottom w:val="nil"/>
              <w:right w:val="single" w:color="auto" w:sz="4" w:space="0"/>
            </w:tcBorders>
            <w:vAlign w:val="center"/>
          </w:tcPr>
          <w:p>
            <w:pPr>
              <w:widowControl/>
              <w:spacing w:line="280" w:lineRule="exact"/>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①是否遵守相关法律法规和业务管理规定；</w:t>
            </w:r>
          </w:p>
        </w:tc>
        <w:tc>
          <w:tcPr>
            <w:tcW w:w="524" w:type="dxa"/>
            <w:tcBorders>
              <w:top w:val="single" w:color="auto" w:sz="4" w:space="0"/>
              <w:left w:val="nil"/>
              <w:bottom w:val="nil"/>
              <w:right w:val="single" w:color="auto" w:sz="4" w:space="0"/>
            </w:tcBorders>
          </w:tcPr>
          <w:p>
            <w:pPr>
              <w:widowControl/>
              <w:spacing w:line="280" w:lineRule="exact"/>
              <w:rPr>
                <w:rFonts w:ascii="宋体" w:hAnsi="宋体"/>
                <w:color w:val="000000"/>
                <w:kern w:val="0"/>
                <w:sz w:val="24"/>
              </w:rPr>
            </w:pPr>
          </w:p>
        </w:tc>
      </w:tr>
      <w:tr>
        <w:tblPrEx>
          <w:tblCellMar>
            <w:top w:w="0" w:type="dxa"/>
            <w:left w:w="108" w:type="dxa"/>
            <w:bottom w:w="0" w:type="dxa"/>
            <w:right w:w="108" w:type="dxa"/>
          </w:tblCellMar>
        </w:tblPrEx>
        <w:trPr>
          <w:jc w:val="center"/>
        </w:trPr>
        <w:tc>
          <w:tcPr>
            <w:tcW w:w="656"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kern w:val="0"/>
                <w:sz w:val="24"/>
              </w:rPr>
            </w:pPr>
          </w:p>
        </w:tc>
        <w:tc>
          <w:tcPr>
            <w:tcW w:w="710"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000000"/>
                <w:kern w:val="0"/>
                <w:sz w:val="24"/>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0" w:lineRule="exact"/>
              <w:jc w:val="left"/>
              <w:rPr>
                <w:rFonts w:ascii="宋体" w:hAnsi="宋体"/>
                <w:color w:val="000000"/>
                <w:kern w:val="0"/>
                <w:sz w:val="24"/>
              </w:rPr>
            </w:pPr>
          </w:p>
        </w:tc>
        <w:tc>
          <w:tcPr>
            <w:tcW w:w="3080"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宋体" w:hAnsi="宋体"/>
                <w:color w:val="000000"/>
                <w:kern w:val="0"/>
                <w:sz w:val="24"/>
              </w:rPr>
            </w:pPr>
          </w:p>
        </w:tc>
        <w:tc>
          <w:tcPr>
            <w:tcW w:w="4363" w:type="dxa"/>
            <w:tcBorders>
              <w:top w:val="nil"/>
              <w:left w:val="nil"/>
              <w:bottom w:val="nil"/>
              <w:right w:val="single" w:color="auto" w:sz="4" w:space="0"/>
            </w:tcBorders>
            <w:vAlign w:val="center"/>
          </w:tcPr>
          <w:p>
            <w:pPr>
              <w:widowControl/>
              <w:spacing w:line="280" w:lineRule="exact"/>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②项目调整及支出调整手续是否完备；</w:t>
            </w:r>
          </w:p>
        </w:tc>
        <w:tc>
          <w:tcPr>
            <w:tcW w:w="524" w:type="dxa"/>
            <w:tcBorders>
              <w:top w:val="nil"/>
              <w:left w:val="nil"/>
              <w:bottom w:val="nil"/>
              <w:right w:val="single" w:color="auto" w:sz="4" w:space="0"/>
            </w:tcBorders>
          </w:tcPr>
          <w:p>
            <w:pPr>
              <w:widowControl/>
              <w:spacing w:line="280" w:lineRule="exact"/>
              <w:rPr>
                <w:rFonts w:ascii="宋体" w:hAnsi="宋体"/>
                <w:color w:val="000000"/>
                <w:kern w:val="0"/>
                <w:sz w:val="24"/>
              </w:rPr>
            </w:pPr>
          </w:p>
        </w:tc>
      </w:tr>
      <w:tr>
        <w:tblPrEx>
          <w:tblCellMar>
            <w:top w:w="0" w:type="dxa"/>
            <w:left w:w="108" w:type="dxa"/>
            <w:bottom w:w="0" w:type="dxa"/>
            <w:right w:w="108" w:type="dxa"/>
          </w:tblCellMar>
        </w:tblPrEx>
        <w:trPr>
          <w:jc w:val="center"/>
        </w:trPr>
        <w:tc>
          <w:tcPr>
            <w:tcW w:w="656"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kern w:val="0"/>
                <w:sz w:val="24"/>
              </w:rPr>
            </w:pPr>
          </w:p>
        </w:tc>
        <w:tc>
          <w:tcPr>
            <w:tcW w:w="710"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000000"/>
                <w:kern w:val="0"/>
                <w:sz w:val="24"/>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0" w:lineRule="exact"/>
              <w:jc w:val="left"/>
              <w:rPr>
                <w:rFonts w:ascii="宋体" w:hAnsi="宋体"/>
                <w:color w:val="000000"/>
                <w:kern w:val="0"/>
                <w:sz w:val="24"/>
              </w:rPr>
            </w:pPr>
          </w:p>
        </w:tc>
        <w:tc>
          <w:tcPr>
            <w:tcW w:w="3080"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宋体" w:hAnsi="宋体"/>
                <w:color w:val="000000"/>
                <w:kern w:val="0"/>
                <w:sz w:val="24"/>
              </w:rPr>
            </w:pPr>
          </w:p>
        </w:tc>
        <w:tc>
          <w:tcPr>
            <w:tcW w:w="4363" w:type="dxa"/>
            <w:tcBorders>
              <w:top w:val="nil"/>
              <w:left w:val="nil"/>
              <w:bottom w:val="nil"/>
              <w:right w:val="single" w:color="auto" w:sz="4" w:space="0"/>
            </w:tcBorders>
            <w:vAlign w:val="center"/>
          </w:tcPr>
          <w:p>
            <w:pPr>
              <w:widowControl/>
              <w:spacing w:line="280" w:lineRule="exact"/>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③项目合同书、验收报告、技术审定等资料是否齐全并及时归档;</w:t>
            </w:r>
          </w:p>
        </w:tc>
        <w:tc>
          <w:tcPr>
            <w:tcW w:w="524" w:type="dxa"/>
            <w:tcBorders>
              <w:top w:val="nil"/>
              <w:left w:val="nil"/>
              <w:bottom w:val="nil"/>
              <w:right w:val="single" w:color="auto" w:sz="4" w:space="0"/>
            </w:tcBorders>
          </w:tcPr>
          <w:p>
            <w:pPr>
              <w:widowControl/>
              <w:spacing w:line="280" w:lineRule="exact"/>
              <w:rPr>
                <w:rFonts w:ascii="宋体" w:hAnsi="宋体"/>
                <w:color w:val="000000"/>
                <w:kern w:val="0"/>
                <w:sz w:val="24"/>
              </w:rPr>
            </w:pPr>
            <w:r>
              <w:rPr>
                <w:rFonts w:hint="eastAsia" w:ascii="宋体" w:hAnsi="宋体"/>
                <w:color w:val="000000"/>
                <w:kern w:val="0"/>
                <w:sz w:val="24"/>
              </w:rPr>
              <w:t>3</w:t>
            </w:r>
          </w:p>
        </w:tc>
      </w:tr>
      <w:tr>
        <w:tblPrEx>
          <w:tblCellMar>
            <w:top w:w="0" w:type="dxa"/>
            <w:left w:w="108" w:type="dxa"/>
            <w:bottom w:w="0" w:type="dxa"/>
            <w:right w:w="108" w:type="dxa"/>
          </w:tblCellMar>
        </w:tblPrEx>
        <w:trPr>
          <w:trHeight w:val="710" w:hRule="atLeast"/>
          <w:jc w:val="center"/>
        </w:trPr>
        <w:tc>
          <w:tcPr>
            <w:tcW w:w="656"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kern w:val="0"/>
                <w:sz w:val="24"/>
              </w:rPr>
            </w:pPr>
          </w:p>
        </w:tc>
        <w:tc>
          <w:tcPr>
            <w:tcW w:w="710"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000000"/>
                <w:kern w:val="0"/>
                <w:sz w:val="24"/>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0" w:lineRule="exact"/>
              <w:jc w:val="left"/>
              <w:rPr>
                <w:rFonts w:ascii="宋体" w:hAnsi="宋体"/>
                <w:color w:val="000000"/>
                <w:kern w:val="0"/>
                <w:sz w:val="24"/>
              </w:rPr>
            </w:pPr>
          </w:p>
        </w:tc>
        <w:tc>
          <w:tcPr>
            <w:tcW w:w="3080" w:type="dxa"/>
            <w:vMerge w:val="continue"/>
            <w:tcBorders>
              <w:top w:val="nil"/>
              <w:left w:val="single" w:color="auto" w:sz="4" w:space="0"/>
              <w:bottom w:val="single" w:color="000000" w:sz="4" w:space="0"/>
              <w:right w:val="single" w:color="auto" w:sz="4" w:space="0"/>
            </w:tcBorders>
            <w:vAlign w:val="center"/>
          </w:tcPr>
          <w:p>
            <w:pPr>
              <w:widowControl/>
              <w:spacing w:line="280" w:lineRule="exact"/>
              <w:jc w:val="left"/>
              <w:rPr>
                <w:rFonts w:ascii="宋体" w:hAnsi="宋体"/>
                <w:color w:val="000000"/>
                <w:kern w:val="0"/>
                <w:sz w:val="24"/>
              </w:rPr>
            </w:pPr>
          </w:p>
        </w:tc>
        <w:tc>
          <w:tcPr>
            <w:tcW w:w="4363" w:type="dxa"/>
            <w:tcBorders>
              <w:top w:val="nil"/>
              <w:left w:val="nil"/>
              <w:bottom w:val="single" w:color="auto" w:sz="4" w:space="0"/>
              <w:right w:val="single" w:color="auto" w:sz="4" w:space="0"/>
            </w:tcBorders>
            <w:vAlign w:val="center"/>
          </w:tcPr>
          <w:p>
            <w:pPr>
              <w:widowControl/>
              <w:spacing w:line="280" w:lineRule="exact"/>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④项目实施的人员条件、场地设备，信息支撑等是否落实到位。</w:t>
            </w:r>
          </w:p>
        </w:tc>
        <w:tc>
          <w:tcPr>
            <w:tcW w:w="524" w:type="dxa"/>
            <w:tcBorders>
              <w:top w:val="nil"/>
              <w:left w:val="nil"/>
              <w:bottom w:val="single" w:color="auto" w:sz="4" w:space="0"/>
              <w:right w:val="single" w:color="auto" w:sz="4" w:space="0"/>
            </w:tcBorders>
          </w:tcPr>
          <w:p>
            <w:pPr>
              <w:widowControl/>
              <w:spacing w:line="280" w:lineRule="exact"/>
              <w:rPr>
                <w:rFonts w:ascii="宋体" w:hAnsi="宋体"/>
                <w:color w:val="000000"/>
                <w:kern w:val="0"/>
                <w:sz w:val="24"/>
              </w:rPr>
            </w:pPr>
          </w:p>
        </w:tc>
      </w:tr>
      <w:tr>
        <w:tblPrEx>
          <w:tblCellMar>
            <w:top w:w="0" w:type="dxa"/>
            <w:left w:w="108" w:type="dxa"/>
            <w:bottom w:w="0" w:type="dxa"/>
            <w:right w:w="108" w:type="dxa"/>
          </w:tblCellMar>
        </w:tblPrEx>
        <w:trPr>
          <w:jc w:val="center"/>
        </w:trPr>
        <w:tc>
          <w:tcPr>
            <w:tcW w:w="656"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kern w:val="0"/>
                <w:sz w:val="24"/>
              </w:rPr>
            </w:pPr>
          </w:p>
        </w:tc>
        <w:tc>
          <w:tcPr>
            <w:tcW w:w="710"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仿宋_GB2312" w:hAnsi="宋体" w:eastAsia="仿宋_GB2312"/>
                <w:color w:val="000000"/>
                <w:kern w:val="0"/>
                <w:sz w:val="20"/>
                <w:szCs w:val="20"/>
              </w:rPr>
            </w:pPr>
          </w:p>
        </w:tc>
        <w:tc>
          <w:tcPr>
            <w:tcW w:w="127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项目质量可控性</w:t>
            </w:r>
          </w:p>
          <w:p>
            <w:pPr>
              <w:widowControl/>
              <w:jc w:val="center"/>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（4分）</w:t>
            </w:r>
          </w:p>
        </w:tc>
        <w:tc>
          <w:tcPr>
            <w:tcW w:w="3080" w:type="dxa"/>
            <w:vMerge w:val="restart"/>
            <w:tcBorders>
              <w:top w:val="nil"/>
              <w:left w:val="single" w:color="auto" w:sz="4" w:space="0"/>
              <w:bottom w:val="single" w:color="000000" w:sz="4" w:space="0"/>
              <w:right w:val="single" w:color="auto" w:sz="4" w:space="0"/>
            </w:tcBorders>
            <w:vAlign w:val="center"/>
          </w:tcPr>
          <w:p>
            <w:pPr>
              <w:widowControl/>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项目实施单位是否为达到项目质量要求而采取了必需的措施，用以反映和考核项目实施单位对项目质量的控制情况。</w:t>
            </w:r>
          </w:p>
        </w:tc>
        <w:tc>
          <w:tcPr>
            <w:tcW w:w="4363" w:type="dxa"/>
            <w:tcBorders>
              <w:top w:val="nil"/>
              <w:left w:val="nil"/>
              <w:bottom w:val="nil"/>
              <w:right w:val="single" w:color="auto" w:sz="4" w:space="0"/>
            </w:tcBorders>
            <w:vAlign w:val="center"/>
          </w:tcPr>
          <w:p>
            <w:pPr>
              <w:widowControl/>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评价要点：</w:t>
            </w:r>
          </w:p>
        </w:tc>
        <w:tc>
          <w:tcPr>
            <w:tcW w:w="524" w:type="dxa"/>
            <w:tcBorders>
              <w:top w:val="nil"/>
              <w:left w:val="nil"/>
              <w:bottom w:val="nil"/>
              <w:right w:val="single" w:color="auto" w:sz="4" w:space="0"/>
            </w:tcBorders>
          </w:tcPr>
          <w:p>
            <w:pPr>
              <w:widowControl/>
              <w:rPr>
                <w:rFonts w:ascii="宋体" w:hAnsi="宋体"/>
                <w:color w:val="000000"/>
                <w:kern w:val="0"/>
                <w:sz w:val="24"/>
              </w:rPr>
            </w:pPr>
          </w:p>
        </w:tc>
      </w:tr>
      <w:tr>
        <w:tblPrEx>
          <w:tblCellMar>
            <w:top w:w="0" w:type="dxa"/>
            <w:left w:w="108" w:type="dxa"/>
            <w:bottom w:w="0" w:type="dxa"/>
            <w:right w:w="108" w:type="dxa"/>
          </w:tblCellMar>
        </w:tblPrEx>
        <w:trPr>
          <w:jc w:val="center"/>
        </w:trPr>
        <w:tc>
          <w:tcPr>
            <w:tcW w:w="6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kern w:val="0"/>
                <w:sz w:val="24"/>
              </w:rPr>
            </w:pPr>
          </w:p>
        </w:tc>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olor w:val="000000"/>
                <w:kern w:val="0"/>
                <w:sz w:val="20"/>
                <w:szCs w:val="20"/>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olor w:val="000000"/>
                <w:kern w:val="0"/>
                <w:sz w:val="20"/>
                <w:szCs w:val="20"/>
              </w:rPr>
            </w:pPr>
          </w:p>
        </w:tc>
        <w:tc>
          <w:tcPr>
            <w:tcW w:w="308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olor w:val="000000"/>
                <w:kern w:val="0"/>
                <w:sz w:val="20"/>
                <w:szCs w:val="20"/>
              </w:rPr>
            </w:pPr>
          </w:p>
        </w:tc>
        <w:tc>
          <w:tcPr>
            <w:tcW w:w="4363" w:type="dxa"/>
            <w:tcBorders>
              <w:top w:val="nil"/>
              <w:left w:val="nil"/>
              <w:bottom w:val="nil"/>
              <w:right w:val="single" w:color="auto" w:sz="4" w:space="0"/>
            </w:tcBorders>
            <w:vAlign w:val="center"/>
          </w:tcPr>
          <w:p>
            <w:pPr>
              <w:widowControl/>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①是否已制定或其有相应的项目质量要求或标准；</w:t>
            </w:r>
          </w:p>
        </w:tc>
        <w:tc>
          <w:tcPr>
            <w:tcW w:w="524" w:type="dxa"/>
            <w:tcBorders>
              <w:top w:val="nil"/>
              <w:left w:val="nil"/>
              <w:bottom w:val="nil"/>
              <w:right w:val="single" w:color="auto" w:sz="4" w:space="0"/>
            </w:tcBorders>
          </w:tcPr>
          <w:p>
            <w:pPr>
              <w:widowControl/>
              <w:rPr>
                <w:rFonts w:ascii="宋体" w:hAnsi="宋体"/>
                <w:color w:val="000000"/>
                <w:kern w:val="0"/>
                <w:sz w:val="24"/>
              </w:rPr>
            </w:pPr>
            <w:r>
              <w:rPr>
                <w:rFonts w:hint="eastAsia" w:ascii="宋体" w:hAnsi="宋体"/>
                <w:color w:val="000000"/>
                <w:kern w:val="0"/>
                <w:sz w:val="24"/>
              </w:rPr>
              <w:t>4</w:t>
            </w:r>
          </w:p>
        </w:tc>
      </w:tr>
      <w:tr>
        <w:tblPrEx>
          <w:tblCellMar>
            <w:top w:w="0" w:type="dxa"/>
            <w:left w:w="108" w:type="dxa"/>
            <w:bottom w:w="0" w:type="dxa"/>
            <w:right w:w="108" w:type="dxa"/>
          </w:tblCellMar>
        </w:tblPrEx>
        <w:trPr>
          <w:trHeight w:val="814" w:hRule="atLeast"/>
          <w:jc w:val="center"/>
        </w:trPr>
        <w:tc>
          <w:tcPr>
            <w:tcW w:w="6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kern w:val="0"/>
                <w:sz w:val="24"/>
              </w:rPr>
            </w:pPr>
          </w:p>
        </w:tc>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olor w:val="000000"/>
                <w:kern w:val="0"/>
                <w:sz w:val="20"/>
                <w:szCs w:val="20"/>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olor w:val="000000"/>
                <w:kern w:val="0"/>
                <w:sz w:val="20"/>
                <w:szCs w:val="20"/>
              </w:rPr>
            </w:pPr>
          </w:p>
        </w:tc>
        <w:tc>
          <w:tcPr>
            <w:tcW w:w="308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olor w:val="000000"/>
                <w:kern w:val="0"/>
                <w:sz w:val="20"/>
                <w:szCs w:val="20"/>
              </w:rPr>
            </w:pPr>
          </w:p>
        </w:tc>
        <w:tc>
          <w:tcPr>
            <w:tcW w:w="4363" w:type="dxa"/>
            <w:tcBorders>
              <w:top w:val="nil"/>
              <w:left w:val="nil"/>
              <w:bottom w:val="single" w:color="auto" w:sz="4" w:space="0"/>
              <w:right w:val="single" w:color="auto" w:sz="4" w:space="0"/>
            </w:tcBorders>
            <w:vAlign w:val="center"/>
          </w:tcPr>
          <w:p>
            <w:pPr>
              <w:widowControl/>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②是否采取了相应的项目质量检查、验收等必需的控制措施或手段。</w:t>
            </w:r>
          </w:p>
        </w:tc>
        <w:tc>
          <w:tcPr>
            <w:tcW w:w="524" w:type="dxa"/>
            <w:tcBorders>
              <w:top w:val="nil"/>
              <w:left w:val="nil"/>
              <w:bottom w:val="single" w:color="auto" w:sz="4" w:space="0"/>
              <w:right w:val="single" w:color="auto" w:sz="4" w:space="0"/>
            </w:tcBorders>
          </w:tcPr>
          <w:p>
            <w:pPr>
              <w:widowControl/>
              <w:rPr>
                <w:rFonts w:ascii="宋体" w:hAnsi="宋体"/>
                <w:color w:val="000000"/>
                <w:kern w:val="0"/>
                <w:sz w:val="24"/>
              </w:rPr>
            </w:pPr>
          </w:p>
        </w:tc>
      </w:tr>
      <w:tr>
        <w:tblPrEx>
          <w:tblCellMar>
            <w:top w:w="0" w:type="dxa"/>
            <w:left w:w="108" w:type="dxa"/>
            <w:bottom w:w="0" w:type="dxa"/>
            <w:right w:w="108" w:type="dxa"/>
          </w:tblCellMar>
        </w:tblPrEx>
        <w:trPr>
          <w:jc w:val="center"/>
        </w:trPr>
        <w:tc>
          <w:tcPr>
            <w:tcW w:w="6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kern w:val="0"/>
                <w:sz w:val="24"/>
              </w:rPr>
            </w:pPr>
          </w:p>
        </w:tc>
        <w:tc>
          <w:tcPr>
            <w:tcW w:w="71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财务管理</w:t>
            </w:r>
          </w:p>
          <w:p>
            <w:pPr>
              <w:widowControl/>
              <w:jc w:val="center"/>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（20分）</w:t>
            </w:r>
          </w:p>
        </w:tc>
        <w:tc>
          <w:tcPr>
            <w:tcW w:w="127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管理制度健全性</w:t>
            </w:r>
          </w:p>
          <w:p>
            <w:pPr>
              <w:widowControl/>
              <w:jc w:val="center"/>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（5分）</w:t>
            </w:r>
          </w:p>
        </w:tc>
        <w:tc>
          <w:tcPr>
            <w:tcW w:w="3080" w:type="dxa"/>
            <w:vMerge w:val="restart"/>
            <w:tcBorders>
              <w:top w:val="nil"/>
              <w:left w:val="single" w:color="auto" w:sz="4" w:space="0"/>
              <w:bottom w:val="single" w:color="000000" w:sz="4" w:space="0"/>
              <w:right w:val="single" w:color="auto" w:sz="4" w:space="0"/>
            </w:tcBorders>
            <w:vAlign w:val="center"/>
          </w:tcPr>
          <w:p>
            <w:pPr>
              <w:widowControl/>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项目实施单位的财务制度是否健全，用以反映和考核财务管理制度对资金规范安全运行的保障情况。</w:t>
            </w:r>
          </w:p>
        </w:tc>
        <w:tc>
          <w:tcPr>
            <w:tcW w:w="4363" w:type="dxa"/>
            <w:tcBorders>
              <w:top w:val="nil"/>
              <w:left w:val="nil"/>
              <w:bottom w:val="nil"/>
              <w:right w:val="single" w:color="auto" w:sz="4" w:space="0"/>
            </w:tcBorders>
            <w:vAlign w:val="center"/>
          </w:tcPr>
          <w:p>
            <w:pPr>
              <w:widowControl/>
              <w:jc w:val="left"/>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评价要点：</w:t>
            </w:r>
          </w:p>
        </w:tc>
        <w:tc>
          <w:tcPr>
            <w:tcW w:w="524" w:type="dxa"/>
            <w:tcBorders>
              <w:top w:val="nil"/>
              <w:left w:val="nil"/>
              <w:bottom w:val="nil"/>
              <w:right w:val="single" w:color="auto" w:sz="4" w:space="0"/>
            </w:tcBorders>
          </w:tcPr>
          <w:p>
            <w:pPr>
              <w:widowControl/>
              <w:jc w:val="left"/>
              <w:rPr>
                <w:rFonts w:ascii="宋体" w:hAnsi="宋体"/>
                <w:color w:val="000000"/>
                <w:kern w:val="0"/>
                <w:sz w:val="24"/>
              </w:rPr>
            </w:pPr>
          </w:p>
        </w:tc>
      </w:tr>
      <w:tr>
        <w:tblPrEx>
          <w:tblCellMar>
            <w:top w:w="0" w:type="dxa"/>
            <w:left w:w="108" w:type="dxa"/>
            <w:bottom w:w="0" w:type="dxa"/>
            <w:right w:w="108" w:type="dxa"/>
          </w:tblCellMar>
        </w:tblPrEx>
        <w:trPr>
          <w:jc w:val="center"/>
        </w:trPr>
        <w:tc>
          <w:tcPr>
            <w:tcW w:w="6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kern w:val="0"/>
                <w:sz w:val="24"/>
              </w:rPr>
            </w:pPr>
          </w:p>
        </w:tc>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olor w:val="000000"/>
                <w:kern w:val="0"/>
                <w:sz w:val="20"/>
                <w:szCs w:val="20"/>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olor w:val="000000"/>
                <w:kern w:val="0"/>
                <w:sz w:val="20"/>
                <w:szCs w:val="20"/>
              </w:rPr>
            </w:pPr>
          </w:p>
        </w:tc>
        <w:tc>
          <w:tcPr>
            <w:tcW w:w="308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olor w:val="000000"/>
                <w:kern w:val="0"/>
                <w:sz w:val="20"/>
                <w:szCs w:val="20"/>
              </w:rPr>
            </w:pPr>
          </w:p>
        </w:tc>
        <w:tc>
          <w:tcPr>
            <w:tcW w:w="4363" w:type="dxa"/>
            <w:tcBorders>
              <w:top w:val="nil"/>
              <w:left w:val="nil"/>
              <w:bottom w:val="nil"/>
              <w:right w:val="single" w:color="auto" w:sz="4" w:space="0"/>
            </w:tcBorders>
            <w:vAlign w:val="center"/>
          </w:tcPr>
          <w:p>
            <w:pPr>
              <w:widowControl/>
              <w:jc w:val="left"/>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①是否已制定或具有相应的项目资金管理办法；</w:t>
            </w:r>
          </w:p>
        </w:tc>
        <w:tc>
          <w:tcPr>
            <w:tcW w:w="524" w:type="dxa"/>
            <w:tcBorders>
              <w:top w:val="nil"/>
              <w:left w:val="nil"/>
              <w:bottom w:val="nil"/>
              <w:right w:val="single" w:color="auto" w:sz="4" w:space="0"/>
            </w:tcBorders>
          </w:tcPr>
          <w:p>
            <w:pPr>
              <w:widowControl/>
              <w:jc w:val="left"/>
              <w:rPr>
                <w:rFonts w:ascii="宋体" w:hAnsi="宋体"/>
                <w:color w:val="000000"/>
                <w:kern w:val="0"/>
                <w:sz w:val="24"/>
              </w:rPr>
            </w:pPr>
            <w:r>
              <w:rPr>
                <w:rFonts w:hint="eastAsia" w:ascii="宋体" w:hAnsi="宋体"/>
                <w:color w:val="000000"/>
                <w:kern w:val="0"/>
                <w:sz w:val="24"/>
              </w:rPr>
              <w:t>5</w:t>
            </w:r>
          </w:p>
        </w:tc>
      </w:tr>
      <w:tr>
        <w:tblPrEx>
          <w:tblCellMar>
            <w:top w:w="0" w:type="dxa"/>
            <w:left w:w="108" w:type="dxa"/>
            <w:bottom w:w="0" w:type="dxa"/>
            <w:right w:w="108" w:type="dxa"/>
          </w:tblCellMar>
        </w:tblPrEx>
        <w:trPr>
          <w:trHeight w:val="616" w:hRule="atLeast"/>
          <w:jc w:val="center"/>
        </w:trPr>
        <w:tc>
          <w:tcPr>
            <w:tcW w:w="6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kern w:val="0"/>
                <w:sz w:val="24"/>
              </w:rPr>
            </w:pPr>
          </w:p>
        </w:tc>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olor w:val="000000"/>
                <w:kern w:val="0"/>
                <w:sz w:val="20"/>
                <w:szCs w:val="20"/>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olor w:val="000000"/>
                <w:kern w:val="0"/>
                <w:sz w:val="20"/>
                <w:szCs w:val="20"/>
              </w:rPr>
            </w:pPr>
          </w:p>
        </w:tc>
        <w:tc>
          <w:tcPr>
            <w:tcW w:w="308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olor w:val="000000"/>
                <w:kern w:val="0"/>
                <w:sz w:val="20"/>
                <w:szCs w:val="20"/>
              </w:rPr>
            </w:pPr>
          </w:p>
        </w:tc>
        <w:tc>
          <w:tcPr>
            <w:tcW w:w="4363" w:type="dxa"/>
            <w:tcBorders>
              <w:top w:val="nil"/>
              <w:left w:val="nil"/>
              <w:bottom w:val="single" w:color="auto" w:sz="4" w:space="0"/>
              <w:right w:val="single" w:color="auto" w:sz="4" w:space="0"/>
            </w:tcBorders>
            <w:vAlign w:val="center"/>
          </w:tcPr>
          <w:p>
            <w:pPr>
              <w:widowControl/>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②项目资金管理办法是否符合相关财务会计制度的规定。</w:t>
            </w:r>
          </w:p>
        </w:tc>
        <w:tc>
          <w:tcPr>
            <w:tcW w:w="524" w:type="dxa"/>
            <w:tcBorders>
              <w:top w:val="nil"/>
              <w:left w:val="nil"/>
              <w:bottom w:val="single" w:color="auto" w:sz="4" w:space="0"/>
              <w:right w:val="single" w:color="auto" w:sz="4" w:space="0"/>
            </w:tcBorders>
          </w:tcPr>
          <w:p>
            <w:pPr>
              <w:widowControl/>
              <w:rPr>
                <w:rFonts w:ascii="宋体" w:hAnsi="宋体"/>
                <w:color w:val="000000"/>
                <w:kern w:val="0"/>
                <w:sz w:val="24"/>
              </w:rPr>
            </w:pPr>
          </w:p>
        </w:tc>
      </w:tr>
      <w:tr>
        <w:tblPrEx>
          <w:tblCellMar>
            <w:top w:w="0" w:type="dxa"/>
            <w:left w:w="108" w:type="dxa"/>
            <w:bottom w:w="0" w:type="dxa"/>
            <w:right w:w="108" w:type="dxa"/>
          </w:tblCellMar>
        </w:tblPrEx>
        <w:trPr>
          <w:jc w:val="center"/>
        </w:trPr>
        <w:tc>
          <w:tcPr>
            <w:tcW w:w="6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kern w:val="0"/>
                <w:sz w:val="24"/>
              </w:rPr>
            </w:pPr>
          </w:p>
        </w:tc>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olor w:val="000000"/>
                <w:kern w:val="0"/>
                <w:sz w:val="20"/>
                <w:szCs w:val="20"/>
              </w:rPr>
            </w:pPr>
          </w:p>
        </w:tc>
        <w:tc>
          <w:tcPr>
            <w:tcW w:w="127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资金使用合规性</w:t>
            </w:r>
          </w:p>
          <w:p>
            <w:pPr>
              <w:widowControl/>
              <w:jc w:val="center"/>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（7分）</w:t>
            </w:r>
          </w:p>
        </w:tc>
        <w:tc>
          <w:tcPr>
            <w:tcW w:w="3080" w:type="dxa"/>
            <w:vMerge w:val="restart"/>
            <w:tcBorders>
              <w:top w:val="nil"/>
              <w:left w:val="single" w:color="auto" w:sz="4" w:space="0"/>
              <w:bottom w:val="single" w:color="000000" w:sz="4" w:space="0"/>
              <w:right w:val="single" w:color="auto" w:sz="4" w:space="0"/>
            </w:tcBorders>
            <w:vAlign w:val="center"/>
          </w:tcPr>
          <w:p>
            <w:pPr>
              <w:widowControl/>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项目资金使用是否符合相关的财务管理制度规定，用以反映和考核项目资金的规范运行情况。</w:t>
            </w:r>
          </w:p>
        </w:tc>
        <w:tc>
          <w:tcPr>
            <w:tcW w:w="4363" w:type="dxa"/>
            <w:tcBorders>
              <w:top w:val="nil"/>
              <w:left w:val="nil"/>
              <w:bottom w:val="nil"/>
              <w:right w:val="single" w:color="auto" w:sz="4" w:space="0"/>
            </w:tcBorders>
            <w:vAlign w:val="center"/>
          </w:tcPr>
          <w:p>
            <w:pPr>
              <w:widowControl/>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评价要点：</w:t>
            </w:r>
          </w:p>
        </w:tc>
        <w:tc>
          <w:tcPr>
            <w:tcW w:w="524" w:type="dxa"/>
            <w:tcBorders>
              <w:top w:val="nil"/>
              <w:left w:val="nil"/>
              <w:bottom w:val="nil"/>
              <w:right w:val="single" w:color="auto" w:sz="4" w:space="0"/>
            </w:tcBorders>
          </w:tcPr>
          <w:p>
            <w:pPr>
              <w:widowControl/>
              <w:rPr>
                <w:rFonts w:ascii="宋体" w:hAnsi="宋体"/>
                <w:color w:val="000000"/>
                <w:kern w:val="0"/>
                <w:sz w:val="24"/>
              </w:rPr>
            </w:pPr>
          </w:p>
        </w:tc>
      </w:tr>
      <w:tr>
        <w:tblPrEx>
          <w:tblCellMar>
            <w:top w:w="0" w:type="dxa"/>
            <w:left w:w="108" w:type="dxa"/>
            <w:bottom w:w="0" w:type="dxa"/>
            <w:right w:w="108" w:type="dxa"/>
          </w:tblCellMar>
        </w:tblPrEx>
        <w:trPr>
          <w:jc w:val="center"/>
        </w:trPr>
        <w:tc>
          <w:tcPr>
            <w:tcW w:w="6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kern w:val="0"/>
                <w:sz w:val="24"/>
              </w:rPr>
            </w:pPr>
          </w:p>
        </w:tc>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olor w:val="000000"/>
                <w:kern w:val="0"/>
                <w:sz w:val="20"/>
                <w:szCs w:val="20"/>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olor w:val="000000"/>
                <w:kern w:val="0"/>
                <w:sz w:val="20"/>
                <w:szCs w:val="20"/>
              </w:rPr>
            </w:pPr>
          </w:p>
        </w:tc>
        <w:tc>
          <w:tcPr>
            <w:tcW w:w="308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olor w:val="000000"/>
                <w:kern w:val="0"/>
                <w:sz w:val="20"/>
                <w:szCs w:val="20"/>
              </w:rPr>
            </w:pPr>
          </w:p>
        </w:tc>
        <w:tc>
          <w:tcPr>
            <w:tcW w:w="4363" w:type="dxa"/>
            <w:tcBorders>
              <w:top w:val="nil"/>
              <w:left w:val="nil"/>
              <w:bottom w:val="nil"/>
              <w:right w:val="single" w:color="auto" w:sz="4" w:space="0"/>
            </w:tcBorders>
            <w:vAlign w:val="center"/>
          </w:tcPr>
          <w:p>
            <w:pPr>
              <w:widowControl/>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①是否符合国家财经法规和财务管理以及有关专项资金管理办法的规定；</w:t>
            </w:r>
          </w:p>
        </w:tc>
        <w:tc>
          <w:tcPr>
            <w:tcW w:w="524" w:type="dxa"/>
            <w:tcBorders>
              <w:top w:val="nil"/>
              <w:left w:val="nil"/>
              <w:bottom w:val="nil"/>
              <w:right w:val="single" w:color="auto" w:sz="4" w:space="0"/>
            </w:tcBorders>
          </w:tcPr>
          <w:p>
            <w:pPr>
              <w:widowControl/>
              <w:rPr>
                <w:rFonts w:ascii="宋体" w:hAnsi="宋体"/>
                <w:color w:val="000000"/>
                <w:kern w:val="0"/>
                <w:sz w:val="24"/>
              </w:rPr>
            </w:pPr>
          </w:p>
        </w:tc>
      </w:tr>
      <w:tr>
        <w:tblPrEx>
          <w:tblCellMar>
            <w:top w:w="0" w:type="dxa"/>
            <w:left w:w="108" w:type="dxa"/>
            <w:bottom w:w="0" w:type="dxa"/>
            <w:right w:w="108" w:type="dxa"/>
          </w:tblCellMar>
        </w:tblPrEx>
        <w:trPr>
          <w:jc w:val="center"/>
        </w:trPr>
        <w:tc>
          <w:tcPr>
            <w:tcW w:w="6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kern w:val="0"/>
                <w:sz w:val="24"/>
              </w:rPr>
            </w:pPr>
          </w:p>
        </w:tc>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olor w:val="000000"/>
                <w:kern w:val="0"/>
                <w:sz w:val="20"/>
                <w:szCs w:val="20"/>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olor w:val="000000"/>
                <w:kern w:val="0"/>
                <w:sz w:val="20"/>
                <w:szCs w:val="20"/>
              </w:rPr>
            </w:pPr>
          </w:p>
        </w:tc>
        <w:tc>
          <w:tcPr>
            <w:tcW w:w="308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olor w:val="000000"/>
                <w:kern w:val="0"/>
                <w:sz w:val="20"/>
                <w:szCs w:val="20"/>
              </w:rPr>
            </w:pPr>
          </w:p>
        </w:tc>
        <w:tc>
          <w:tcPr>
            <w:tcW w:w="4363" w:type="dxa"/>
            <w:tcBorders>
              <w:top w:val="nil"/>
              <w:left w:val="nil"/>
              <w:bottom w:val="nil"/>
              <w:right w:val="single" w:color="auto" w:sz="4" w:space="0"/>
            </w:tcBorders>
            <w:vAlign w:val="center"/>
          </w:tcPr>
          <w:p>
            <w:pPr>
              <w:widowControl/>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②资金的拨付是否有完整的审批程序和手续；</w:t>
            </w:r>
          </w:p>
        </w:tc>
        <w:tc>
          <w:tcPr>
            <w:tcW w:w="524" w:type="dxa"/>
            <w:tcBorders>
              <w:top w:val="nil"/>
              <w:left w:val="nil"/>
              <w:bottom w:val="nil"/>
              <w:right w:val="single" w:color="auto" w:sz="4" w:space="0"/>
            </w:tcBorders>
          </w:tcPr>
          <w:p>
            <w:pPr>
              <w:widowControl/>
              <w:rPr>
                <w:rFonts w:ascii="宋体" w:hAnsi="宋体"/>
                <w:color w:val="000000"/>
                <w:kern w:val="0"/>
                <w:sz w:val="24"/>
              </w:rPr>
            </w:pPr>
            <w:r>
              <w:rPr>
                <w:rFonts w:hint="eastAsia" w:ascii="宋体" w:hAnsi="宋体"/>
                <w:color w:val="000000"/>
                <w:kern w:val="0"/>
                <w:sz w:val="24"/>
              </w:rPr>
              <w:t>7</w:t>
            </w:r>
          </w:p>
        </w:tc>
      </w:tr>
      <w:tr>
        <w:tblPrEx>
          <w:tblCellMar>
            <w:top w:w="0" w:type="dxa"/>
            <w:left w:w="108" w:type="dxa"/>
            <w:bottom w:w="0" w:type="dxa"/>
            <w:right w:w="108" w:type="dxa"/>
          </w:tblCellMar>
        </w:tblPrEx>
        <w:trPr>
          <w:jc w:val="center"/>
        </w:trPr>
        <w:tc>
          <w:tcPr>
            <w:tcW w:w="6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kern w:val="0"/>
                <w:sz w:val="24"/>
              </w:rPr>
            </w:pPr>
          </w:p>
        </w:tc>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olor w:val="000000"/>
                <w:kern w:val="0"/>
                <w:sz w:val="20"/>
                <w:szCs w:val="20"/>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olor w:val="000000"/>
                <w:kern w:val="0"/>
                <w:sz w:val="20"/>
                <w:szCs w:val="20"/>
              </w:rPr>
            </w:pPr>
          </w:p>
        </w:tc>
        <w:tc>
          <w:tcPr>
            <w:tcW w:w="308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olor w:val="000000"/>
                <w:kern w:val="0"/>
                <w:sz w:val="20"/>
                <w:szCs w:val="20"/>
              </w:rPr>
            </w:pPr>
          </w:p>
        </w:tc>
        <w:tc>
          <w:tcPr>
            <w:tcW w:w="4363" w:type="dxa"/>
            <w:tcBorders>
              <w:top w:val="nil"/>
              <w:left w:val="nil"/>
              <w:bottom w:val="nil"/>
              <w:right w:val="single" w:color="auto" w:sz="4" w:space="0"/>
            </w:tcBorders>
            <w:vAlign w:val="center"/>
          </w:tcPr>
          <w:p>
            <w:pPr>
              <w:widowControl/>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③项目的重大开支是否经过评估认证；</w:t>
            </w:r>
          </w:p>
        </w:tc>
        <w:tc>
          <w:tcPr>
            <w:tcW w:w="524" w:type="dxa"/>
            <w:tcBorders>
              <w:top w:val="nil"/>
              <w:left w:val="nil"/>
              <w:bottom w:val="nil"/>
              <w:right w:val="single" w:color="auto" w:sz="4" w:space="0"/>
            </w:tcBorders>
          </w:tcPr>
          <w:p>
            <w:pPr>
              <w:widowControl/>
              <w:rPr>
                <w:rFonts w:ascii="宋体" w:hAnsi="宋体"/>
                <w:color w:val="000000"/>
                <w:kern w:val="0"/>
                <w:sz w:val="24"/>
              </w:rPr>
            </w:pPr>
          </w:p>
        </w:tc>
      </w:tr>
      <w:tr>
        <w:tblPrEx>
          <w:tblCellMar>
            <w:top w:w="0" w:type="dxa"/>
            <w:left w:w="108" w:type="dxa"/>
            <w:bottom w:w="0" w:type="dxa"/>
            <w:right w:w="108" w:type="dxa"/>
          </w:tblCellMar>
        </w:tblPrEx>
        <w:trPr>
          <w:jc w:val="center"/>
        </w:trPr>
        <w:tc>
          <w:tcPr>
            <w:tcW w:w="6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kern w:val="0"/>
                <w:sz w:val="24"/>
              </w:rPr>
            </w:pPr>
          </w:p>
        </w:tc>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olor w:val="000000"/>
                <w:kern w:val="0"/>
                <w:sz w:val="20"/>
                <w:szCs w:val="20"/>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olor w:val="000000"/>
                <w:kern w:val="0"/>
                <w:sz w:val="20"/>
                <w:szCs w:val="20"/>
              </w:rPr>
            </w:pPr>
          </w:p>
        </w:tc>
        <w:tc>
          <w:tcPr>
            <w:tcW w:w="308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olor w:val="000000"/>
                <w:kern w:val="0"/>
                <w:sz w:val="20"/>
                <w:szCs w:val="20"/>
              </w:rPr>
            </w:pPr>
          </w:p>
        </w:tc>
        <w:tc>
          <w:tcPr>
            <w:tcW w:w="4363" w:type="dxa"/>
            <w:tcBorders>
              <w:top w:val="nil"/>
              <w:left w:val="nil"/>
              <w:bottom w:val="nil"/>
              <w:right w:val="single" w:color="auto" w:sz="4" w:space="0"/>
            </w:tcBorders>
            <w:vAlign w:val="center"/>
          </w:tcPr>
          <w:p>
            <w:pPr>
              <w:widowControl/>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④是否符合项目预算批复或合同规定的用途；</w:t>
            </w:r>
          </w:p>
        </w:tc>
        <w:tc>
          <w:tcPr>
            <w:tcW w:w="524" w:type="dxa"/>
            <w:tcBorders>
              <w:top w:val="nil"/>
              <w:left w:val="nil"/>
              <w:bottom w:val="nil"/>
              <w:right w:val="single" w:color="auto" w:sz="4" w:space="0"/>
            </w:tcBorders>
          </w:tcPr>
          <w:p>
            <w:pPr>
              <w:widowControl/>
              <w:rPr>
                <w:rFonts w:ascii="宋体" w:hAnsi="宋体"/>
                <w:color w:val="000000"/>
                <w:kern w:val="0"/>
                <w:sz w:val="24"/>
              </w:rPr>
            </w:pPr>
          </w:p>
        </w:tc>
      </w:tr>
      <w:tr>
        <w:tblPrEx>
          <w:tblCellMar>
            <w:top w:w="0" w:type="dxa"/>
            <w:left w:w="108" w:type="dxa"/>
            <w:bottom w:w="0" w:type="dxa"/>
            <w:right w:w="108" w:type="dxa"/>
          </w:tblCellMar>
        </w:tblPrEx>
        <w:trPr>
          <w:trHeight w:val="307" w:hRule="atLeast"/>
          <w:jc w:val="center"/>
        </w:trPr>
        <w:tc>
          <w:tcPr>
            <w:tcW w:w="6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kern w:val="0"/>
                <w:sz w:val="24"/>
              </w:rPr>
            </w:pPr>
          </w:p>
        </w:tc>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olor w:val="000000"/>
                <w:kern w:val="0"/>
                <w:sz w:val="20"/>
                <w:szCs w:val="20"/>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olor w:val="000000"/>
                <w:kern w:val="0"/>
                <w:sz w:val="20"/>
                <w:szCs w:val="20"/>
              </w:rPr>
            </w:pPr>
          </w:p>
        </w:tc>
        <w:tc>
          <w:tcPr>
            <w:tcW w:w="308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olor w:val="000000"/>
                <w:kern w:val="0"/>
                <w:sz w:val="20"/>
                <w:szCs w:val="20"/>
              </w:rPr>
            </w:pPr>
          </w:p>
        </w:tc>
        <w:tc>
          <w:tcPr>
            <w:tcW w:w="4363" w:type="dxa"/>
            <w:tcBorders>
              <w:top w:val="nil"/>
              <w:left w:val="nil"/>
              <w:bottom w:val="single" w:color="auto" w:sz="4" w:space="0"/>
              <w:right w:val="single" w:color="auto" w:sz="4" w:space="0"/>
            </w:tcBorders>
            <w:vAlign w:val="center"/>
          </w:tcPr>
          <w:p>
            <w:pPr>
              <w:widowControl/>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⑤是否存在截留、挤占、挪用、虚列支出等情况。</w:t>
            </w:r>
          </w:p>
        </w:tc>
        <w:tc>
          <w:tcPr>
            <w:tcW w:w="524" w:type="dxa"/>
            <w:tcBorders>
              <w:top w:val="nil"/>
              <w:left w:val="nil"/>
              <w:bottom w:val="single" w:color="auto" w:sz="4" w:space="0"/>
              <w:right w:val="single" w:color="auto" w:sz="4" w:space="0"/>
            </w:tcBorders>
          </w:tcPr>
          <w:p>
            <w:pPr>
              <w:widowControl/>
              <w:rPr>
                <w:rFonts w:ascii="宋体" w:hAnsi="宋体"/>
                <w:color w:val="000000"/>
                <w:kern w:val="0"/>
                <w:sz w:val="24"/>
              </w:rPr>
            </w:pPr>
          </w:p>
        </w:tc>
      </w:tr>
      <w:tr>
        <w:tblPrEx>
          <w:tblCellMar>
            <w:top w:w="0" w:type="dxa"/>
            <w:left w:w="108" w:type="dxa"/>
            <w:bottom w:w="0" w:type="dxa"/>
            <w:right w:w="108" w:type="dxa"/>
          </w:tblCellMar>
        </w:tblPrEx>
        <w:trPr>
          <w:trHeight w:val="377" w:hRule="atLeast"/>
          <w:jc w:val="center"/>
        </w:trPr>
        <w:tc>
          <w:tcPr>
            <w:tcW w:w="6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kern w:val="0"/>
                <w:sz w:val="24"/>
              </w:rPr>
            </w:pPr>
          </w:p>
        </w:tc>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olor w:val="000000"/>
                <w:kern w:val="0"/>
                <w:sz w:val="20"/>
                <w:szCs w:val="20"/>
              </w:rPr>
            </w:pPr>
          </w:p>
        </w:tc>
        <w:tc>
          <w:tcPr>
            <w:tcW w:w="127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财务监控有效性</w:t>
            </w:r>
          </w:p>
          <w:p>
            <w:pPr>
              <w:widowControl/>
              <w:jc w:val="center"/>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（8分）</w:t>
            </w:r>
          </w:p>
        </w:tc>
        <w:tc>
          <w:tcPr>
            <w:tcW w:w="3080" w:type="dxa"/>
            <w:vMerge w:val="restart"/>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项目实施单位是否为保障资金的安全、规范运行而采取了必要的监控措施，用以反映和考核项目实施单位对资金运行的控制情况。</w:t>
            </w:r>
          </w:p>
        </w:tc>
        <w:tc>
          <w:tcPr>
            <w:tcW w:w="4363" w:type="dxa"/>
            <w:tcBorders>
              <w:top w:val="nil"/>
              <w:left w:val="nil"/>
              <w:bottom w:val="nil"/>
              <w:right w:val="single" w:color="auto" w:sz="4" w:space="0"/>
            </w:tcBorders>
            <w:vAlign w:val="center"/>
          </w:tcPr>
          <w:p>
            <w:pPr>
              <w:widowControl/>
              <w:jc w:val="left"/>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评价要点：</w:t>
            </w:r>
          </w:p>
        </w:tc>
        <w:tc>
          <w:tcPr>
            <w:tcW w:w="524" w:type="dxa"/>
            <w:tcBorders>
              <w:top w:val="nil"/>
              <w:left w:val="nil"/>
              <w:bottom w:val="nil"/>
              <w:right w:val="single" w:color="auto" w:sz="4" w:space="0"/>
            </w:tcBorders>
          </w:tcPr>
          <w:p>
            <w:pPr>
              <w:widowControl/>
              <w:jc w:val="left"/>
              <w:rPr>
                <w:rFonts w:ascii="宋体" w:hAnsi="宋体"/>
                <w:color w:val="000000"/>
                <w:kern w:val="0"/>
                <w:sz w:val="24"/>
              </w:rPr>
            </w:pPr>
          </w:p>
        </w:tc>
      </w:tr>
      <w:tr>
        <w:tblPrEx>
          <w:tblCellMar>
            <w:top w:w="0" w:type="dxa"/>
            <w:left w:w="108" w:type="dxa"/>
            <w:bottom w:w="0" w:type="dxa"/>
            <w:right w:w="108" w:type="dxa"/>
          </w:tblCellMar>
        </w:tblPrEx>
        <w:trPr>
          <w:jc w:val="center"/>
        </w:trPr>
        <w:tc>
          <w:tcPr>
            <w:tcW w:w="6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kern w:val="0"/>
                <w:sz w:val="24"/>
              </w:rPr>
            </w:pPr>
          </w:p>
        </w:tc>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olor w:val="000000"/>
                <w:kern w:val="0"/>
                <w:sz w:val="20"/>
                <w:szCs w:val="20"/>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olor w:val="000000"/>
                <w:kern w:val="0"/>
                <w:sz w:val="20"/>
                <w:szCs w:val="20"/>
              </w:rPr>
            </w:pPr>
          </w:p>
        </w:tc>
        <w:tc>
          <w:tcPr>
            <w:tcW w:w="308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olor w:val="000000"/>
                <w:kern w:val="0"/>
                <w:sz w:val="20"/>
                <w:szCs w:val="20"/>
              </w:rPr>
            </w:pPr>
          </w:p>
        </w:tc>
        <w:tc>
          <w:tcPr>
            <w:tcW w:w="4363" w:type="dxa"/>
            <w:tcBorders>
              <w:top w:val="nil"/>
              <w:left w:val="nil"/>
              <w:bottom w:val="nil"/>
              <w:right w:val="single" w:color="auto" w:sz="4" w:space="0"/>
            </w:tcBorders>
            <w:vAlign w:val="center"/>
          </w:tcPr>
          <w:p>
            <w:pPr>
              <w:widowControl/>
              <w:jc w:val="left"/>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①是否已制定或具有相应的监控机制；</w:t>
            </w:r>
          </w:p>
        </w:tc>
        <w:tc>
          <w:tcPr>
            <w:tcW w:w="524" w:type="dxa"/>
            <w:tcBorders>
              <w:top w:val="nil"/>
              <w:left w:val="nil"/>
              <w:bottom w:val="nil"/>
              <w:right w:val="single" w:color="auto" w:sz="4" w:space="0"/>
            </w:tcBorders>
          </w:tcPr>
          <w:p>
            <w:pPr>
              <w:widowControl/>
              <w:jc w:val="left"/>
              <w:rPr>
                <w:rFonts w:ascii="宋体" w:hAnsi="宋体"/>
                <w:color w:val="000000"/>
                <w:kern w:val="0"/>
                <w:sz w:val="24"/>
              </w:rPr>
            </w:pPr>
            <w:r>
              <w:rPr>
                <w:rFonts w:hint="eastAsia" w:ascii="宋体" w:hAnsi="宋体"/>
                <w:color w:val="000000"/>
                <w:kern w:val="0"/>
                <w:sz w:val="24"/>
              </w:rPr>
              <w:t>8</w:t>
            </w:r>
          </w:p>
        </w:tc>
      </w:tr>
      <w:tr>
        <w:tblPrEx>
          <w:tblCellMar>
            <w:top w:w="0" w:type="dxa"/>
            <w:left w:w="108" w:type="dxa"/>
            <w:bottom w:w="0" w:type="dxa"/>
            <w:right w:w="108" w:type="dxa"/>
          </w:tblCellMar>
        </w:tblPrEx>
        <w:trPr>
          <w:trHeight w:val="559" w:hRule="atLeast"/>
          <w:jc w:val="center"/>
        </w:trPr>
        <w:tc>
          <w:tcPr>
            <w:tcW w:w="6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olor w:val="000000"/>
                <w:kern w:val="0"/>
                <w:sz w:val="20"/>
                <w:szCs w:val="20"/>
              </w:rPr>
            </w:pPr>
          </w:p>
        </w:tc>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olor w:val="000000"/>
                <w:kern w:val="0"/>
                <w:sz w:val="20"/>
                <w:szCs w:val="20"/>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olor w:val="000000"/>
                <w:kern w:val="0"/>
                <w:sz w:val="20"/>
                <w:szCs w:val="20"/>
              </w:rPr>
            </w:pPr>
          </w:p>
        </w:tc>
        <w:tc>
          <w:tcPr>
            <w:tcW w:w="3080"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olor w:val="000000"/>
                <w:kern w:val="0"/>
                <w:sz w:val="20"/>
                <w:szCs w:val="20"/>
              </w:rPr>
            </w:pPr>
          </w:p>
        </w:tc>
        <w:tc>
          <w:tcPr>
            <w:tcW w:w="4363" w:type="dxa"/>
            <w:tcBorders>
              <w:top w:val="nil"/>
              <w:left w:val="nil"/>
              <w:bottom w:val="single" w:color="auto" w:sz="4" w:space="0"/>
              <w:right w:val="single" w:color="auto" w:sz="4" w:space="0"/>
            </w:tcBorders>
            <w:vAlign w:val="center"/>
          </w:tcPr>
          <w:p>
            <w:pPr>
              <w:widowControl/>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②是否采取了相应的财务检查等必要的监控措施或手段。</w:t>
            </w:r>
          </w:p>
        </w:tc>
        <w:tc>
          <w:tcPr>
            <w:tcW w:w="524" w:type="dxa"/>
            <w:tcBorders>
              <w:top w:val="nil"/>
              <w:left w:val="nil"/>
              <w:bottom w:val="single" w:color="auto" w:sz="4" w:space="0"/>
              <w:right w:val="single" w:color="auto" w:sz="4" w:space="0"/>
            </w:tcBorders>
          </w:tcPr>
          <w:p>
            <w:pPr>
              <w:widowControl/>
              <w:rPr>
                <w:rFonts w:ascii="宋体" w:hAnsi="宋体"/>
                <w:color w:val="000000"/>
                <w:kern w:val="0"/>
                <w:sz w:val="24"/>
              </w:rPr>
            </w:pPr>
          </w:p>
        </w:tc>
      </w:tr>
      <w:tr>
        <w:tblPrEx>
          <w:tblCellMar>
            <w:top w:w="0" w:type="dxa"/>
            <w:left w:w="108" w:type="dxa"/>
            <w:bottom w:w="0" w:type="dxa"/>
            <w:right w:w="108" w:type="dxa"/>
          </w:tblCellMar>
        </w:tblPrEx>
        <w:trPr>
          <w:jc w:val="center"/>
        </w:trPr>
        <w:tc>
          <w:tcPr>
            <w:tcW w:w="656"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产出</w:t>
            </w:r>
          </w:p>
          <w:p>
            <w:pPr>
              <w:widowControl/>
              <w:jc w:val="center"/>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（30分）</w:t>
            </w:r>
          </w:p>
        </w:tc>
        <w:tc>
          <w:tcPr>
            <w:tcW w:w="71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项目产出</w:t>
            </w:r>
          </w:p>
          <w:p>
            <w:pPr>
              <w:widowControl/>
              <w:jc w:val="center"/>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（30分）</w:t>
            </w:r>
          </w:p>
        </w:tc>
        <w:tc>
          <w:tcPr>
            <w:tcW w:w="127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实际完成率（7分）</w:t>
            </w:r>
          </w:p>
        </w:tc>
        <w:tc>
          <w:tcPr>
            <w:tcW w:w="3080" w:type="dxa"/>
            <w:vMerge w:val="restart"/>
            <w:tcBorders>
              <w:top w:val="single" w:color="auto" w:sz="4" w:space="0"/>
              <w:left w:val="single" w:color="auto" w:sz="4" w:space="0"/>
              <w:bottom w:val="single" w:color="000000" w:sz="4" w:space="0"/>
              <w:right w:val="single" w:color="auto" w:sz="4" w:space="0"/>
            </w:tcBorders>
            <w:vAlign w:val="center"/>
          </w:tcPr>
          <w:p>
            <w:pPr>
              <w:widowControl/>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项目实施的实际产出数与计划产出数的比率，用以反映和考核项目产出数量目标的实现程度。</w:t>
            </w:r>
          </w:p>
        </w:tc>
        <w:tc>
          <w:tcPr>
            <w:tcW w:w="4363" w:type="dxa"/>
            <w:tcBorders>
              <w:top w:val="single" w:color="auto" w:sz="4" w:space="0"/>
              <w:left w:val="nil"/>
              <w:bottom w:val="nil"/>
              <w:right w:val="single" w:color="auto" w:sz="4" w:space="0"/>
            </w:tcBorders>
            <w:vAlign w:val="center"/>
          </w:tcPr>
          <w:p>
            <w:pPr>
              <w:widowControl/>
              <w:jc w:val="left"/>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实际完成率＝（实际产出数/计划产出数）×100%。</w:t>
            </w:r>
          </w:p>
        </w:tc>
        <w:tc>
          <w:tcPr>
            <w:tcW w:w="524" w:type="dxa"/>
            <w:tcBorders>
              <w:top w:val="single" w:color="auto" w:sz="4" w:space="0"/>
              <w:left w:val="single" w:color="auto" w:sz="4" w:space="0"/>
              <w:bottom w:val="nil"/>
              <w:right w:val="single" w:color="auto" w:sz="4" w:space="0"/>
            </w:tcBorders>
          </w:tcPr>
          <w:p>
            <w:pPr>
              <w:widowControl/>
              <w:jc w:val="left"/>
              <w:rPr>
                <w:rFonts w:ascii="宋体" w:hAnsi="宋体"/>
                <w:color w:val="000000"/>
                <w:kern w:val="0"/>
                <w:sz w:val="24"/>
              </w:rPr>
            </w:pPr>
          </w:p>
        </w:tc>
      </w:tr>
      <w:tr>
        <w:tblPrEx>
          <w:tblCellMar>
            <w:top w:w="0" w:type="dxa"/>
            <w:left w:w="108" w:type="dxa"/>
            <w:bottom w:w="0" w:type="dxa"/>
            <w:right w:w="108" w:type="dxa"/>
          </w:tblCellMar>
        </w:tblPrEx>
        <w:trPr>
          <w:trHeight w:val="568" w:hRule="atLeast"/>
          <w:jc w:val="center"/>
        </w:trPr>
        <w:tc>
          <w:tcPr>
            <w:tcW w:w="6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kern w:val="0"/>
                <w:sz w:val="24"/>
              </w:rPr>
            </w:pPr>
          </w:p>
        </w:tc>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kern w:val="0"/>
                <w:sz w:val="24"/>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kern w:val="0"/>
                <w:sz w:val="24"/>
              </w:rPr>
            </w:pPr>
          </w:p>
        </w:tc>
        <w:tc>
          <w:tcPr>
            <w:tcW w:w="3080"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olor w:val="000000"/>
                <w:kern w:val="0"/>
                <w:sz w:val="20"/>
                <w:szCs w:val="20"/>
              </w:rPr>
            </w:pPr>
          </w:p>
        </w:tc>
        <w:tc>
          <w:tcPr>
            <w:tcW w:w="4363" w:type="dxa"/>
            <w:tcBorders>
              <w:top w:val="nil"/>
              <w:left w:val="nil"/>
              <w:bottom w:val="single" w:color="auto" w:sz="4" w:space="0"/>
              <w:right w:val="single" w:color="auto" w:sz="4" w:space="0"/>
            </w:tcBorders>
            <w:vAlign w:val="center"/>
          </w:tcPr>
          <w:p>
            <w:pPr>
              <w:widowControl/>
              <w:jc w:val="left"/>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实际产出数：一定时期（本年度或项目期）内项目实际产出的产品或提供的服务数。</w:t>
            </w:r>
          </w:p>
        </w:tc>
        <w:tc>
          <w:tcPr>
            <w:tcW w:w="524" w:type="dxa"/>
            <w:tcBorders>
              <w:top w:val="nil"/>
              <w:left w:val="single" w:color="auto" w:sz="4" w:space="0"/>
              <w:bottom w:val="nil"/>
              <w:right w:val="single" w:color="auto" w:sz="4" w:space="0"/>
            </w:tcBorders>
          </w:tcPr>
          <w:p>
            <w:pPr>
              <w:widowControl/>
              <w:jc w:val="left"/>
              <w:rPr>
                <w:rFonts w:ascii="宋体" w:hAnsi="宋体"/>
                <w:color w:val="000000"/>
                <w:kern w:val="0"/>
                <w:sz w:val="24"/>
              </w:rPr>
            </w:pPr>
            <w:r>
              <w:rPr>
                <w:rFonts w:hint="eastAsia" w:ascii="宋体" w:hAnsi="宋体"/>
                <w:color w:val="000000"/>
                <w:kern w:val="0"/>
                <w:sz w:val="24"/>
              </w:rPr>
              <w:t>7</w:t>
            </w:r>
          </w:p>
        </w:tc>
      </w:tr>
      <w:tr>
        <w:tblPrEx>
          <w:tblCellMar>
            <w:top w:w="0" w:type="dxa"/>
            <w:left w:w="108" w:type="dxa"/>
            <w:bottom w:w="0" w:type="dxa"/>
            <w:right w:w="108" w:type="dxa"/>
          </w:tblCellMar>
        </w:tblPrEx>
        <w:trPr>
          <w:trHeight w:val="822" w:hRule="atLeast"/>
          <w:jc w:val="center"/>
        </w:trPr>
        <w:tc>
          <w:tcPr>
            <w:tcW w:w="6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kern w:val="0"/>
                <w:sz w:val="24"/>
              </w:rPr>
            </w:pPr>
          </w:p>
        </w:tc>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kern w:val="0"/>
                <w:sz w:val="24"/>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kern w:val="0"/>
                <w:sz w:val="24"/>
              </w:rPr>
            </w:pPr>
          </w:p>
        </w:tc>
        <w:tc>
          <w:tcPr>
            <w:tcW w:w="308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_GB2312" w:hAnsi="宋体" w:eastAsia="仿宋_GB2312"/>
                <w:color w:val="000000"/>
                <w:kern w:val="0"/>
                <w:sz w:val="20"/>
                <w:szCs w:val="20"/>
              </w:rPr>
            </w:pPr>
          </w:p>
        </w:tc>
        <w:tc>
          <w:tcPr>
            <w:tcW w:w="4363" w:type="dxa"/>
            <w:tcBorders>
              <w:top w:val="single" w:color="auto" w:sz="4" w:space="0"/>
              <w:left w:val="nil"/>
              <w:bottom w:val="single" w:color="auto" w:sz="4" w:space="0"/>
              <w:right w:val="single" w:color="auto" w:sz="4" w:space="0"/>
            </w:tcBorders>
            <w:vAlign w:val="center"/>
          </w:tcPr>
          <w:p>
            <w:pPr>
              <w:widowControl/>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计划产出数：项目绩效目标确定的在一定时期（本年度或项目期）内计划产出的产品或提供的服务数量。</w:t>
            </w:r>
          </w:p>
        </w:tc>
        <w:tc>
          <w:tcPr>
            <w:tcW w:w="524" w:type="dxa"/>
            <w:tcBorders>
              <w:top w:val="nil"/>
              <w:left w:val="single" w:color="auto" w:sz="4" w:space="0"/>
              <w:bottom w:val="single" w:color="auto" w:sz="4" w:space="0"/>
              <w:right w:val="single" w:color="auto" w:sz="4" w:space="0"/>
            </w:tcBorders>
          </w:tcPr>
          <w:p>
            <w:pPr>
              <w:widowControl/>
              <w:rPr>
                <w:rFonts w:ascii="宋体" w:hAnsi="宋体"/>
                <w:color w:val="000000"/>
                <w:kern w:val="0"/>
                <w:sz w:val="24"/>
              </w:rPr>
            </w:pPr>
          </w:p>
        </w:tc>
      </w:tr>
      <w:tr>
        <w:tblPrEx>
          <w:tblCellMar>
            <w:top w:w="0" w:type="dxa"/>
            <w:left w:w="108" w:type="dxa"/>
            <w:bottom w:w="0" w:type="dxa"/>
            <w:right w:w="108" w:type="dxa"/>
          </w:tblCellMar>
        </w:tblPrEx>
        <w:trPr>
          <w:jc w:val="center"/>
        </w:trPr>
        <w:tc>
          <w:tcPr>
            <w:tcW w:w="6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kern w:val="0"/>
                <w:sz w:val="24"/>
              </w:rPr>
            </w:pPr>
          </w:p>
        </w:tc>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kern w:val="0"/>
                <w:sz w:val="24"/>
              </w:rPr>
            </w:pPr>
          </w:p>
        </w:tc>
        <w:tc>
          <w:tcPr>
            <w:tcW w:w="127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完成及时率</w:t>
            </w:r>
          </w:p>
          <w:p>
            <w:pPr>
              <w:widowControl/>
              <w:jc w:val="center"/>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（7分）</w:t>
            </w:r>
          </w:p>
        </w:tc>
        <w:tc>
          <w:tcPr>
            <w:tcW w:w="3080" w:type="dxa"/>
            <w:vMerge w:val="restart"/>
            <w:tcBorders>
              <w:top w:val="nil"/>
              <w:left w:val="single" w:color="auto" w:sz="4" w:space="0"/>
              <w:bottom w:val="single" w:color="000000" w:sz="4" w:space="0"/>
              <w:right w:val="single" w:color="auto" w:sz="4" w:space="0"/>
            </w:tcBorders>
            <w:vAlign w:val="center"/>
          </w:tcPr>
          <w:p>
            <w:pPr>
              <w:widowControl/>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项目实际提前完成时间与计划完成时间的比率，用以反映和考核项目产出时效目标的实现程度</w:t>
            </w:r>
          </w:p>
        </w:tc>
        <w:tc>
          <w:tcPr>
            <w:tcW w:w="4363" w:type="dxa"/>
            <w:tcBorders>
              <w:top w:val="nil"/>
              <w:left w:val="nil"/>
              <w:bottom w:val="nil"/>
              <w:right w:val="single" w:color="auto" w:sz="4" w:space="0"/>
            </w:tcBorders>
            <w:vAlign w:val="center"/>
          </w:tcPr>
          <w:p>
            <w:pPr>
              <w:widowControl/>
              <w:jc w:val="left"/>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完成及时率[ (计划完成时间-实际完成时间）/计划完成时间]</w:t>
            </w:r>
            <w:r>
              <w:rPr>
                <w:rFonts w:hint="eastAsia" w:ascii="宋体" w:hAnsi="宋体" w:eastAsia="仿宋_GB2312"/>
                <w:color w:val="000000"/>
                <w:kern w:val="0"/>
                <w:sz w:val="20"/>
                <w:szCs w:val="20"/>
              </w:rPr>
              <w:t> </w:t>
            </w:r>
            <w:r>
              <w:rPr>
                <w:rFonts w:hint="eastAsia" w:ascii="仿宋_GB2312" w:hAnsi="宋体" w:eastAsia="仿宋_GB2312"/>
                <w:color w:val="000000"/>
                <w:kern w:val="0"/>
                <w:sz w:val="20"/>
                <w:szCs w:val="20"/>
              </w:rPr>
              <w:t>×100%。</w:t>
            </w:r>
          </w:p>
        </w:tc>
        <w:tc>
          <w:tcPr>
            <w:tcW w:w="524" w:type="dxa"/>
            <w:tcBorders>
              <w:top w:val="single" w:color="auto" w:sz="4" w:space="0"/>
              <w:left w:val="nil"/>
              <w:bottom w:val="nil"/>
              <w:right w:val="single" w:color="auto" w:sz="4" w:space="0"/>
            </w:tcBorders>
          </w:tcPr>
          <w:p>
            <w:pPr>
              <w:widowControl/>
              <w:jc w:val="left"/>
              <w:rPr>
                <w:rFonts w:ascii="宋体" w:hAnsi="宋体"/>
                <w:color w:val="000000"/>
                <w:kern w:val="0"/>
                <w:sz w:val="24"/>
              </w:rPr>
            </w:pPr>
          </w:p>
        </w:tc>
      </w:tr>
      <w:tr>
        <w:tblPrEx>
          <w:tblCellMar>
            <w:top w:w="0" w:type="dxa"/>
            <w:left w:w="108" w:type="dxa"/>
            <w:bottom w:w="0" w:type="dxa"/>
            <w:right w:w="108" w:type="dxa"/>
          </w:tblCellMar>
        </w:tblPrEx>
        <w:trPr>
          <w:jc w:val="center"/>
        </w:trPr>
        <w:tc>
          <w:tcPr>
            <w:tcW w:w="6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kern w:val="0"/>
                <w:sz w:val="24"/>
              </w:rPr>
            </w:pPr>
          </w:p>
        </w:tc>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kern w:val="0"/>
                <w:sz w:val="24"/>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olor w:val="000000"/>
                <w:kern w:val="0"/>
                <w:sz w:val="20"/>
                <w:szCs w:val="20"/>
              </w:rPr>
            </w:pPr>
          </w:p>
        </w:tc>
        <w:tc>
          <w:tcPr>
            <w:tcW w:w="308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olor w:val="000000"/>
                <w:kern w:val="0"/>
                <w:sz w:val="20"/>
                <w:szCs w:val="20"/>
              </w:rPr>
            </w:pPr>
          </w:p>
        </w:tc>
        <w:tc>
          <w:tcPr>
            <w:tcW w:w="4363" w:type="dxa"/>
            <w:tcBorders>
              <w:top w:val="nil"/>
              <w:left w:val="nil"/>
              <w:bottom w:val="nil"/>
              <w:right w:val="single" w:color="auto" w:sz="4" w:space="0"/>
            </w:tcBorders>
            <w:vAlign w:val="center"/>
          </w:tcPr>
          <w:p>
            <w:pPr>
              <w:widowControl/>
              <w:jc w:val="left"/>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实际完成时间：项目实施单位完成该项目实际所耗用的时间。</w:t>
            </w:r>
          </w:p>
        </w:tc>
        <w:tc>
          <w:tcPr>
            <w:tcW w:w="524" w:type="dxa"/>
            <w:tcBorders>
              <w:top w:val="nil"/>
              <w:left w:val="nil"/>
              <w:bottom w:val="nil"/>
              <w:right w:val="single" w:color="auto" w:sz="4" w:space="0"/>
            </w:tcBorders>
          </w:tcPr>
          <w:p>
            <w:pPr>
              <w:widowControl/>
              <w:jc w:val="left"/>
              <w:rPr>
                <w:rFonts w:ascii="宋体" w:hAnsi="宋体"/>
                <w:color w:val="000000"/>
                <w:kern w:val="0"/>
                <w:sz w:val="24"/>
              </w:rPr>
            </w:pPr>
            <w:r>
              <w:rPr>
                <w:rFonts w:hint="eastAsia" w:ascii="宋体" w:hAnsi="宋体"/>
                <w:color w:val="000000"/>
                <w:kern w:val="0"/>
                <w:sz w:val="24"/>
              </w:rPr>
              <w:t>5</w:t>
            </w:r>
          </w:p>
        </w:tc>
      </w:tr>
      <w:tr>
        <w:tblPrEx>
          <w:tblCellMar>
            <w:top w:w="0" w:type="dxa"/>
            <w:left w:w="108" w:type="dxa"/>
            <w:bottom w:w="0" w:type="dxa"/>
            <w:right w:w="108" w:type="dxa"/>
          </w:tblCellMar>
        </w:tblPrEx>
        <w:trPr>
          <w:trHeight w:val="914" w:hRule="atLeast"/>
          <w:jc w:val="center"/>
        </w:trPr>
        <w:tc>
          <w:tcPr>
            <w:tcW w:w="6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kern w:val="0"/>
                <w:sz w:val="24"/>
              </w:rPr>
            </w:pPr>
          </w:p>
        </w:tc>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kern w:val="0"/>
                <w:sz w:val="24"/>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olor w:val="000000"/>
                <w:kern w:val="0"/>
                <w:sz w:val="20"/>
                <w:szCs w:val="20"/>
              </w:rPr>
            </w:pPr>
          </w:p>
        </w:tc>
        <w:tc>
          <w:tcPr>
            <w:tcW w:w="3080"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olor w:val="000000"/>
                <w:kern w:val="0"/>
                <w:sz w:val="20"/>
                <w:szCs w:val="20"/>
              </w:rPr>
            </w:pPr>
          </w:p>
        </w:tc>
        <w:tc>
          <w:tcPr>
            <w:tcW w:w="4363" w:type="dxa"/>
            <w:tcBorders>
              <w:top w:val="nil"/>
              <w:left w:val="nil"/>
              <w:bottom w:val="single" w:color="auto" w:sz="4" w:space="0"/>
              <w:right w:val="single" w:color="auto" w:sz="4" w:space="0"/>
            </w:tcBorders>
            <w:vAlign w:val="center"/>
          </w:tcPr>
          <w:p>
            <w:pPr>
              <w:widowControl/>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计划完成时间：按照项目实施计划或相关规定完成该项目所需的时间。</w:t>
            </w:r>
          </w:p>
        </w:tc>
        <w:tc>
          <w:tcPr>
            <w:tcW w:w="524" w:type="dxa"/>
            <w:tcBorders>
              <w:top w:val="nil"/>
              <w:left w:val="nil"/>
              <w:bottom w:val="single" w:color="auto" w:sz="4" w:space="0"/>
              <w:right w:val="single" w:color="auto" w:sz="4" w:space="0"/>
            </w:tcBorders>
          </w:tcPr>
          <w:p>
            <w:pPr>
              <w:widowControl/>
              <w:rPr>
                <w:rFonts w:ascii="宋体" w:hAnsi="宋体"/>
                <w:color w:val="000000"/>
                <w:kern w:val="0"/>
                <w:sz w:val="24"/>
              </w:rPr>
            </w:pPr>
          </w:p>
        </w:tc>
      </w:tr>
      <w:tr>
        <w:tblPrEx>
          <w:tblCellMar>
            <w:top w:w="0" w:type="dxa"/>
            <w:left w:w="108" w:type="dxa"/>
            <w:bottom w:w="0" w:type="dxa"/>
            <w:right w:w="108" w:type="dxa"/>
          </w:tblCellMar>
        </w:tblPrEx>
        <w:trPr>
          <w:jc w:val="center"/>
        </w:trPr>
        <w:tc>
          <w:tcPr>
            <w:tcW w:w="6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kern w:val="0"/>
                <w:sz w:val="24"/>
              </w:rPr>
            </w:pPr>
          </w:p>
        </w:tc>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kern w:val="0"/>
                <w:sz w:val="24"/>
              </w:rPr>
            </w:pPr>
          </w:p>
        </w:tc>
        <w:tc>
          <w:tcPr>
            <w:tcW w:w="127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质量达标率</w:t>
            </w:r>
          </w:p>
          <w:p>
            <w:pPr>
              <w:widowControl/>
              <w:jc w:val="center"/>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（8分）</w:t>
            </w:r>
          </w:p>
        </w:tc>
        <w:tc>
          <w:tcPr>
            <w:tcW w:w="3080" w:type="dxa"/>
            <w:vMerge w:val="restart"/>
            <w:tcBorders>
              <w:top w:val="single" w:color="auto" w:sz="4" w:space="0"/>
              <w:left w:val="single" w:color="auto" w:sz="4" w:space="0"/>
              <w:bottom w:val="single" w:color="000000" w:sz="4" w:space="0"/>
              <w:right w:val="single" w:color="auto" w:sz="4" w:space="0"/>
            </w:tcBorders>
            <w:vAlign w:val="center"/>
          </w:tcPr>
          <w:p>
            <w:pPr>
              <w:widowControl/>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项目完成的质量达标产出数与实际产出数的比率，用以反映和考核项目产出质量目标的实现程度。</w:t>
            </w:r>
          </w:p>
        </w:tc>
        <w:tc>
          <w:tcPr>
            <w:tcW w:w="4363" w:type="dxa"/>
            <w:tcBorders>
              <w:top w:val="single" w:color="auto" w:sz="4" w:space="0"/>
              <w:left w:val="nil"/>
              <w:bottom w:val="nil"/>
              <w:right w:val="single" w:color="auto" w:sz="4" w:space="0"/>
            </w:tcBorders>
            <w:vAlign w:val="center"/>
          </w:tcPr>
          <w:p>
            <w:pPr>
              <w:widowControl/>
              <w:jc w:val="left"/>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质量达标率＝（质量达标产出数/实际产出数）/100%。</w:t>
            </w:r>
          </w:p>
        </w:tc>
        <w:tc>
          <w:tcPr>
            <w:tcW w:w="524" w:type="dxa"/>
            <w:tcBorders>
              <w:top w:val="single" w:color="auto" w:sz="4" w:space="0"/>
              <w:left w:val="single" w:color="auto" w:sz="4" w:space="0"/>
              <w:bottom w:val="nil"/>
              <w:right w:val="single" w:color="auto" w:sz="4" w:space="0"/>
            </w:tcBorders>
          </w:tcPr>
          <w:p>
            <w:pPr>
              <w:widowControl/>
              <w:jc w:val="left"/>
              <w:rPr>
                <w:rFonts w:ascii="宋体" w:hAnsi="宋体"/>
                <w:color w:val="000000"/>
                <w:kern w:val="0"/>
                <w:sz w:val="24"/>
              </w:rPr>
            </w:pPr>
          </w:p>
        </w:tc>
      </w:tr>
      <w:tr>
        <w:tblPrEx>
          <w:tblCellMar>
            <w:top w:w="0" w:type="dxa"/>
            <w:left w:w="108" w:type="dxa"/>
            <w:bottom w:w="0" w:type="dxa"/>
            <w:right w:w="108" w:type="dxa"/>
          </w:tblCellMar>
        </w:tblPrEx>
        <w:trPr>
          <w:jc w:val="center"/>
        </w:trPr>
        <w:tc>
          <w:tcPr>
            <w:tcW w:w="6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kern w:val="0"/>
                <w:sz w:val="24"/>
              </w:rPr>
            </w:pPr>
          </w:p>
        </w:tc>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kern w:val="0"/>
                <w:sz w:val="24"/>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olor w:val="000000"/>
                <w:kern w:val="0"/>
                <w:sz w:val="20"/>
                <w:szCs w:val="20"/>
              </w:rPr>
            </w:pPr>
          </w:p>
        </w:tc>
        <w:tc>
          <w:tcPr>
            <w:tcW w:w="3080"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olor w:val="000000"/>
                <w:kern w:val="0"/>
                <w:sz w:val="20"/>
                <w:szCs w:val="20"/>
              </w:rPr>
            </w:pPr>
          </w:p>
        </w:tc>
        <w:tc>
          <w:tcPr>
            <w:tcW w:w="4363" w:type="dxa"/>
            <w:tcBorders>
              <w:top w:val="nil"/>
              <w:left w:val="nil"/>
              <w:bottom w:val="single" w:color="auto" w:sz="4" w:space="0"/>
              <w:right w:val="single" w:color="auto" w:sz="4" w:space="0"/>
            </w:tcBorders>
            <w:vAlign w:val="center"/>
          </w:tcPr>
          <w:p>
            <w:pPr>
              <w:widowControl/>
              <w:jc w:val="left"/>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质量达标产出数：一定时期（本年度或项目期）内实际达到既定质量标准的产品或服务数量。</w:t>
            </w:r>
          </w:p>
        </w:tc>
        <w:tc>
          <w:tcPr>
            <w:tcW w:w="524" w:type="dxa"/>
            <w:tcBorders>
              <w:top w:val="nil"/>
              <w:left w:val="single" w:color="auto" w:sz="4" w:space="0"/>
              <w:bottom w:val="nil"/>
              <w:right w:val="single" w:color="auto" w:sz="4" w:space="0"/>
            </w:tcBorders>
          </w:tcPr>
          <w:p>
            <w:pPr>
              <w:widowControl/>
              <w:jc w:val="left"/>
              <w:rPr>
                <w:rFonts w:ascii="宋体" w:hAnsi="宋体"/>
                <w:color w:val="000000"/>
                <w:kern w:val="0"/>
                <w:sz w:val="24"/>
              </w:rPr>
            </w:pPr>
            <w:r>
              <w:rPr>
                <w:rFonts w:hint="eastAsia" w:ascii="宋体" w:hAnsi="宋体"/>
                <w:color w:val="000000"/>
                <w:kern w:val="0"/>
                <w:sz w:val="24"/>
              </w:rPr>
              <w:t>6</w:t>
            </w:r>
          </w:p>
        </w:tc>
      </w:tr>
      <w:tr>
        <w:tblPrEx>
          <w:tblCellMar>
            <w:top w:w="0" w:type="dxa"/>
            <w:left w:w="108" w:type="dxa"/>
            <w:bottom w:w="0" w:type="dxa"/>
            <w:right w:w="108" w:type="dxa"/>
          </w:tblCellMar>
        </w:tblPrEx>
        <w:trPr>
          <w:trHeight w:val="1006" w:hRule="exact"/>
          <w:jc w:val="center"/>
        </w:trPr>
        <w:tc>
          <w:tcPr>
            <w:tcW w:w="6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kern w:val="0"/>
                <w:sz w:val="24"/>
              </w:rPr>
            </w:pPr>
          </w:p>
        </w:tc>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kern w:val="0"/>
                <w:sz w:val="24"/>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olor w:val="000000"/>
                <w:kern w:val="0"/>
                <w:sz w:val="20"/>
                <w:szCs w:val="20"/>
              </w:rPr>
            </w:pPr>
          </w:p>
        </w:tc>
        <w:tc>
          <w:tcPr>
            <w:tcW w:w="308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_GB2312" w:hAnsi="宋体" w:eastAsia="仿宋_GB2312"/>
                <w:color w:val="000000"/>
                <w:kern w:val="0"/>
                <w:sz w:val="20"/>
                <w:szCs w:val="20"/>
              </w:rPr>
            </w:pPr>
          </w:p>
        </w:tc>
        <w:tc>
          <w:tcPr>
            <w:tcW w:w="4363" w:type="dxa"/>
            <w:tcBorders>
              <w:top w:val="single" w:color="auto" w:sz="4" w:space="0"/>
              <w:left w:val="nil"/>
              <w:bottom w:val="single" w:color="auto" w:sz="4" w:space="0"/>
              <w:right w:val="single" w:color="auto" w:sz="4" w:space="0"/>
            </w:tcBorders>
            <w:vAlign w:val="center"/>
          </w:tcPr>
          <w:p>
            <w:pPr>
              <w:widowControl/>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既定质量标准是指项目实施单位设立绩效目标时依据计划标准、行业标准、历史标准或其他标准而设定的绩效指标值。</w:t>
            </w:r>
          </w:p>
        </w:tc>
        <w:tc>
          <w:tcPr>
            <w:tcW w:w="524" w:type="dxa"/>
            <w:tcBorders>
              <w:top w:val="nil"/>
              <w:left w:val="single" w:color="auto" w:sz="4" w:space="0"/>
              <w:bottom w:val="single" w:color="auto" w:sz="4" w:space="0"/>
              <w:right w:val="single" w:color="auto" w:sz="4" w:space="0"/>
            </w:tcBorders>
          </w:tcPr>
          <w:p>
            <w:pPr>
              <w:widowControl/>
              <w:rPr>
                <w:rFonts w:ascii="宋体" w:hAnsi="宋体"/>
                <w:color w:val="000000"/>
                <w:kern w:val="0"/>
                <w:sz w:val="24"/>
              </w:rPr>
            </w:pPr>
          </w:p>
        </w:tc>
      </w:tr>
      <w:tr>
        <w:tblPrEx>
          <w:tblCellMar>
            <w:top w:w="0" w:type="dxa"/>
            <w:left w:w="108" w:type="dxa"/>
            <w:bottom w:w="0" w:type="dxa"/>
            <w:right w:w="108" w:type="dxa"/>
          </w:tblCellMar>
        </w:tblPrEx>
        <w:trPr>
          <w:jc w:val="center"/>
        </w:trPr>
        <w:tc>
          <w:tcPr>
            <w:tcW w:w="6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kern w:val="0"/>
                <w:sz w:val="24"/>
              </w:rPr>
            </w:pPr>
          </w:p>
        </w:tc>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kern w:val="0"/>
                <w:sz w:val="24"/>
              </w:rPr>
            </w:pPr>
          </w:p>
        </w:tc>
        <w:tc>
          <w:tcPr>
            <w:tcW w:w="127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成本节约率</w:t>
            </w:r>
          </w:p>
          <w:p>
            <w:pPr>
              <w:widowControl/>
              <w:jc w:val="center"/>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（8分）</w:t>
            </w:r>
          </w:p>
        </w:tc>
        <w:tc>
          <w:tcPr>
            <w:tcW w:w="3080" w:type="dxa"/>
            <w:vMerge w:val="restart"/>
            <w:tcBorders>
              <w:top w:val="nil"/>
              <w:left w:val="single" w:color="auto" w:sz="4" w:space="0"/>
              <w:bottom w:val="single" w:color="000000" w:sz="4" w:space="0"/>
              <w:right w:val="single" w:color="auto" w:sz="4" w:space="0"/>
            </w:tcBorders>
            <w:vAlign w:val="center"/>
          </w:tcPr>
          <w:p>
            <w:pPr>
              <w:widowControl/>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完成项目计划工作目标的实际节约成本与计划成本的比率，用以反映和考核项目的成本节约程度。</w:t>
            </w:r>
          </w:p>
        </w:tc>
        <w:tc>
          <w:tcPr>
            <w:tcW w:w="4363" w:type="dxa"/>
            <w:tcBorders>
              <w:top w:val="nil"/>
              <w:left w:val="nil"/>
              <w:bottom w:val="nil"/>
              <w:right w:val="single" w:color="auto" w:sz="4" w:space="0"/>
            </w:tcBorders>
            <w:vAlign w:val="center"/>
          </w:tcPr>
          <w:p>
            <w:pPr>
              <w:widowControl/>
              <w:jc w:val="left"/>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成本节约率＝(计划成本-实际成本)</w:t>
            </w:r>
            <w:r>
              <w:rPr>
                <w:rFonts w:hint="eastAsia" w:ascii="宋体" w:hAnsi="宋体" w:eastAsia="仿宋_GB2312"/>
                <w:color w:val="000000"/>
                <w:kern w:val="0"/>
                <w:sz w:val="20"/>
                <w:szCs w:val="20"/>
              </w:rPr>
              <w:t> </w:t>
            </w:r>
            <w:r>
              <w:rPr>
                <w:rFonts w:hint="eastAsia" w:ascii="仿宋_GB2312" w:hAnsi="宋体" w:eastAsia="仿宋_GB2312"/>
                <w:color w:val="000000"/>
                <w:kern w:val="0"/>
                <w:sz w:val="20"/>
                <w:szCs w:val="20"/>
              </w:rPr>
              <w:t>/计划成本×100%。</w:t>
            </w:r>
          </w:p>
        </w:tc>
        <w:tc>
          <w:tcPr>
            <w:tcW w:w="524" w:type="dxa"/>
            <w:tcBorders>
              <w:top w:val="single" w:color="auto" w:sz="4" w:space="0"/>
              <w:left w:val="nil"/>
              <w:bottom w:val="nil"/>
              <w:right w:val="single" w:color="auto" w:sz="4" w:space="0"/>
            </w:tcBorders>
          </w:tcPr>
          <w:p>
            <w:pPr>
              <w:widowControl/>
              <w:jc w:val="left"/>
              <w:rPr>
                <w:rFonts w:ascii="宋体" w:hAnsi="宋体"/>
                <w:color w:val="000000"/>
                <w:kern w:val="0"/>
                <w:sz w:val="24"/>
              </w:rPr>
            </w:pPr>
          </w:p>
        </w:tc>
      </w:tr>
      <w:tr>
        <w:tblPrEx>
          <w:tblCellMar>
            <w:top w:w="0" w:type="dxa"/>
            <w:left w:w="108" w:type="dxa"/>
            <w:bottom w:w="0" w:type="dxa"/>
            <w:right w:w="108" w:type="dxa"/>
          </w:tblCellMar>
        </w:tblPrEx>
        <w:trPr>
          <w:jc w:val="center"/>
        </w:trPr>
        <w:tc>
          <w:tcPr>
            <w:tcW w:w="6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kern w:val="0"/>
                <w:sz w:val="24"/>
              </w:rPr>
            </w:pPr>
          </w:p>
        </w:tc>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kern w:val="0"/>
                <w:sz w:val="24"/>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kern w:val="0"/>
                <w:sz w:val="24"/>
              </w:rPr>
            </w:pPr>
          </w:p>
        </w:tc>
        <w:tc>
          <w:tcPr>
            <w:tcW w:w="308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olor w:val="000000"/>
                <w:kern w:val="0"/>
                <w:sz w:val="20"/>
                <w:szCs w:val="20"/>
              </w:rPr>
            </w:pPr>
          </w:p>
        </w:tc>
        <w:tc>
          <w:tcPr>
            <w:tcW w:w="4363" w:type="dxa"/>
            <w:tcBorders>
              <w:top w:val="nil"/>
              <w:left w:val="nil"/>
              <w:bottom w:val="nil"/>
              <w:right w:val="single" w:color="auto" w:sz="4" w:space="0"/>
            </w:tcBorders>
            <w:vAlign w:val="center"/>
          </w:tcPr>
          <w:p>
            <w:pPr>
              <w:widowControl/>
              <w:jc w:val="left"/>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实际成本：项目实施单位如期、保质、保量完成既定工作目标实际所耗费的支出。</w:t>
            </w:r>
          </w:p>
        </w:tc>
        <w:tc>
          <w:tcPr>
            <w:tcW w:w="524" w:type="dxa"/>
            <w:tcBorders>
              <w:top w:val="nil"/>
              <w:left w:val="nil"/>
              <w:bottom w:val="nil"/>
              <w:right w:val="single" w:color="auto" w:sz="4" w:space="0"/>
            </w:tcBorders>
          </w:tcPr>
          <w:p>
            <w:pPr>
              <w:widowControl/>
              <w:jc w:val="left"/>
              <w:rPr>
                <w:rFonts w:ascii="宋体" w:hAnsi="宋体"/>
                <w:color w:val="000000"/>
                <w:kern w:val="0"/>
                <w:sz w:val="24"/>
              </w:rPr>
            </w:pPr>
            <w:r>
              <w:rPr>
                <w:rFonts w:hint="eastAsia" w:ascii="宋体" w:hAnsi="宋体"/>
                <w:color w:val="000000"/>
                <w:kern w:val="0"/>
                <w:sz w:val="24"/>
              </w:rPr>
              <w:t>8</w:t>
            </w:r>
          </w:p>
        </w:tc>
      </w:tr>
      <w:tr>
        <w:tblPrEx>
          <w:tblCellMar>
            <w:top w:w="0" w:type="dxa"/>
            <w:left w:w="108" w:type="dxa"/>
            <w:bottom w:w="0" w:type="dxa"/>
            <w:right w:w="108" w:type="dxa"/>
          </w:tblCellMar>
        </w:tblPrEx>
        <w:trPr>
          <w:trHeight w:val="567" w:hRule="atLeast"/>
          <w:jc w:val="center"/>
        </w:trPr>
        <w:tc>
          <w:tcPr>
            <w:tcW w:w="6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kern w:val="0"/>
                <w:sz w:val="24"/>
              </w:rPr>
            </w:pPr>
          </w:p>
        </w:tc>
        <w:tc>
          <w:tcPr>
            <w:tcW w:w="71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kern w:val="0"/>
                <w:sz w:val="24"/>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kern w:val="0"/>
                <w:sz w:val="24"/>
              </w:rPr>
            </w:pPr>
          </w:p>
        </w:tc>
        <w:tc>
          <w:tcPr>
            <w:tcW w:w="308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olor w:val="000000"/>
                <w:kern w:val="0"/>
                <w:sz w:val="20"/>
                <w:szCs w:val="20"/>
              </w:rPr>
            </w:pPr>
          </w:p>
        </w:tc>
        <w:tc>
          <w:tcPr>
            <w:tcW w:w="4363" w:type="dxa"/>
            <w:tcBorders>
              <w:top w:val="nil"/>
              <w:left w:val="nil"/>
              <w:bottom w:val="single" w:color="auto" w:sz="4" w:space="0"/>
              <w:right w:val="single" w:color="auto" w:sz="4" w:space="0"/>
            </w:tcBorders>
            <w:vAlign w:val="center"/>
          </w:tcPr>
          <w:p>
            <w:pPr>
              <w:widowControl/>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计划成本：项目实施单位为完成工作目标计划安排的支出，一般以项目预算为参考。</w:t>
            </w:r>
          </w:p>
        </w:tc>
        <w:tc>
          <w:tcPr>
            <w:tcW w:w="524" w:type="dxa"/>
            <w:tcBorders>
              <w:top w:val="nil"/>
              <w:left w:val="nil"/>
              <w:bottom w:val="single" w:color="auto" w:sz="4" w:space="0"/>
              <w:right w:val="single" w:color="auto" w:sz="4" w:space="0"/>
            </w:tcBorders>
          </w:tcPr>
          <w:p>
            <w:pPr>
              <w:widowControl/>
              <w:rPr>
                <w:rFonts w:ascii="宋体" w:hAnsi="宋体"/>
                <w:color w:val="000000"/>
                <w:kern w:val="0"/>
                <w:sz w:val="24"/>
              </w:rPr>
            </w:pPr>
          </w:p>
        </w:tc>
      </w:tr>
      <w:tr>
        <w:tblPrEx>
          <w:tblCellMar>
            <w:top w:w="0" w:type="dxa"/>
            <w:left w:w="108" w:type="dxa"/>
            <w:bottom w:w="0" w:type="dxa"/>
            <w:right w:w="108" w:type="dxa"/>
          </w:tblCellMar>
        </w:tblPrEx>
        <w:trPr>
          <w:trHeight w:val="667" w:hRule="atLeast"/>
          <w:jc w:val="center"/>
        </w:trPr>
        <w:tc>
          <w:tcPr>
            <w:tcW w:w="656"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效果</w:t>
            </w:r>
          </w:p>
          <w:p>
            <w:pPr>
              <w:widowControl/>
              <w:jc w:val="center"/>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（20分）</w:t>
            </w:r>
          </w:p>
        </w:tc>
        <w:tc>
          <w:tcPr>
            <w:tcW w:w="710"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项目效益</w:t>
            </w:r>
          </w:p>
          <w:p>
            <w:pPr>
              <w:widowControl/>
              <w:jc w:val="center"/>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（20分）</w:t>
            </w:r>
          </w:p>
        </w:tc>
        <w:tc>
          <w:tcPr>
            <w:tcW w:w="1275" w:type="dxa"/>
            <w:tcBorders>
              <w:top w:val="single" w:color="auto" w:sz="4" w:space="0"/>
              <w:left w:val="nil"/>
              <w:bottom w:val="single" w:color="auto" w:sz="4" w:space="0"/>
              <w:right w:val="single" w:color="auto" w:sz="4" w:space="0"/>
            </w:tcBorders>
            <w:vAlign w:val="center"/>
          </w:tcPr>
          <w:p>
            <w:pPr>
              <w:widowControl/>
              <w:jc w:val="center"/>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经济效益</w:t>
            </w:r>
          </w:p>
          <w:p>
            <w:pPr>
              <w:widowControl/>
              <w:jc w:val="center"/>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（4分）</w:t>
            </w:r>
          </w:p>
        </w:tc>
        <w:tc>
          <w:tcPr>
            <w:tcW w:w="3080" w:type="dxa"/>
            <w:tcBorders>
              <w:top w:val="nil"/>
              <w:left w:val="nil"/>
              <w:bottom w:val="single" w:color="auto" w:sz="4" w:space="0"/>
              <w:right w:val="single" w:color="auto" w:sz="4" w:space="0"/>
            </w:tcBorders>
            <w:vAlign w:val="center"/>
          </w:tcPr>
          <w:p>
            <w:pPr>
              <w:widowControl/>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项目实施对经济发展所带来的直接或间接影响情况。</w:t>
            </w:r>
          </w:p>
        </w:tc>
        <w:tc>
          <w:tcPr>
            <w:tcW w:w="4363" w:type="dxa"/>
            <w:vMerge w:val="restart"/>
            <w:tcBorders>
              <w:top w:val="nil"/>
              <w:left w:val="single" w:color="auto" w:sz="4" w:space="0"/>
              <w:bottom w:val="single" w:color="000000" w:sz="4" w:space="0"/>
              <w:right w:val="single" w:color="auto" w:sz="4" w:space="0"/>
            </w:tcBorders>
            <w:vAlign w:val="center"/>
          </w:tcPr>
          <w:p>
            <w:pPr>
              <w:widowControl/>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此四项指标为设置项目支出</w:t>
            </w:r>
            <w:r>
              <w:rPr>
                <w:rFonts w:hint="eastAsia" w:ascii="仿宋_GB2312" w:hAnsi="宋体"/>
                <w:color w:val="000000"/>
                <w:kern w:val="0"/>
                <w:sz w:val="20"/>
                <w:szCs w:val="20"/>
              </w:rPr>
              <w:t>績</w:t>
            </w:r>
            <w:r>
              <w:rPr>
                <w:rFonts w:hint="eastAsia" w:ascii="仿宋_GB2312" w:hAnsi="宋体" w:eastAsia="仿宋_GB2312"/>
                <w:color w:val="000000"/>
                <w:kern w:val="0"/>
                <w:sz w:val="20"/>
                <w:szCs w:val="20"/>
              </w:rPr>
              <w:t>效评价指标时必须考虑的共性要素，可根据项目实际并结合绩效目标设立情况有选择的进行设置，并将其细化为相应的个性化指标。</w:t>
            </w:r>
          </w:p>
        </w:tc>
        <w:tc>
          <w:tcPr>
            <w:tcW w:w="524" w:type="dxa"/>
            <w:tcBorders>
              <w:top w:val="nil"/>
              <w:left w:val="single" w:color="auto" w:sz="4" w:space="0"/>
              <w:bottom w:val="single" w:color="000000" w:sz="4" w:space="0"/>
              <w:right w:val="single" w:color="auto" w:sz="4" w:space="0"/>
            </w:tcBorders>
          </w:tcPr>
          <w:p>
            <w:pPr>
              <w:widowControl/>
              <w:rPr>
                <w:rFonts w:ascii="宋体" w:hAnsi="宋体"/>
                <w:color w:val="000000"/>
                <w:kern w:val="0"/>
                <w:sz w:val="24"/>
              </w:rPr>
            </w:pPr>
            <w:r>
              <w:rPr>
                <w:rFonts w:hint="eastAsia" w:ascii="宋体" w:hAnsi="宋体"/>
                <w:color w:val="000000"/>
                <w:kern w:val="0"/>
                <w:sz w:val="24"/>
              </w:rPr>
              <w:t>4</w:t>
            </w:r>
          </w:p>
        </w:tc>
      </w:tr>
      <w:tr>
        <w:tblPrEx>
          <w:tblCellMar>
            <w:top w:w="0" w:type="dxa"/>
            <w:left w:w="108" w:type="dxa"/>
            <w:bottom w:w="0" w:type="dxa"/>
            <w:right w:w="108" w:type="dxa"/>
          </w:tblCellMar>
        </w:tblPrEx>
        <w:trPr>
          <w:trHeight w:val="604" w:hRule="atLeast"/>
          <w:jc w:val="center"/>
        </w:trPr>
        <w:tc>
          <w:tcPr>
            <w:tcW w:w="65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olor w:val="000000"/>
                <w:kern w:val="0"/>
                <w:sz w:val="24"/>
              </w:rPr>
            </w:pPr>
          </w:p>
        </w:tc>
        <w:tc>
          <w:tcPr>
            <w:tcW w:w="71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olor w:val="000000"/>
                <w:kern w:val="0"/>
                <w:sz w:val="24"/>
              </w:rPr>
            </w:pPr>
          </w:p>
        </w:tc>
        <w:tc>
          <w:tcPr>
            <w:tcW w:w="1275" w:type="dxa"/>
            <w:tcBorders>
              <w:top w:val="nil"/>
              <w:left w:val="nil"/>
              <w:bottom w:val="single" w:color="auto" w:sz="4" w:space="0"/>
              <w:right w:val="single" w:color="auto" w:sz="4" w:space="0"/>
            </w:tcBorders>
            <w:vAlign w:val="center"/>
          </w:tcPr>
          <w:p>
            <w:pPr>
              <w:widowControl/>
              <w:jc w:val="center"/>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社会效益</w:t>
            </w:r>
          </w:p>
          <w:p>
            <w:pPr>
              <w:widowControl/>
              <w:jc w:val="center"/>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（3分）</w:t>
            </w:r>
          </w:p>
        </w:tc>
        <w:tc>
          <w:tcPr>
            <w:tcW w:w="3080" w:type="dxa"/>
            <w:tcBorders>
              <w:top w:val="nil"/>
              <w:left w:val="nil"/>
              <w:bottom w:val="single" w:color="auto" w:sz="4" w:space="0"/>
              <w:right w:val="single" w:color="auto" w:sz="4" w:space="0"/>
            </w:tcBorders>
            <w:vAlign w:val="center"/>
          </w:tcPr>
          <w:p>
            <w:pPr>
              <w:widowControl/>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项目实施对社会发展所带来的直接或间接影响情况。</w:t>
            </w:r>
          </w:p>
        </w:tc>
        <w:tc>
          <w:tcPr>
            <w:tcW w:w="436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olor w:val="000000"/>
                <w:kern w:val="0"/>
                <w:sz w:val="20"/>
                <w:szCs w:val="20"/>
              </w:rPr>
            </w:pPr>
          </w:p>
        </w:tc>
        <w:tc>
          <w:tcPr>
            <w:tcW w:w="524" w:type="dxa"/>
            <w:tcBorders>
              <w:top w:val="nil"/>
              <w:left w:val="single" w:color="auto" w:sz="4" w:space="0"/>
              <w:bottom w:val="single" w:color="000000" w:sz="4" w:space="0"/>
              <w:right w:val="single" w:color="auto" w:sz="4" w:space="0"/>
            </w:tcBorders>
          </w:tcPr>
          <w:p>
            <w:pPr>
              <w:widowControl/>
              <w:jc w:val="left"/>
              <w:rPr>
                <w:rFonts w:ascii="宋体" w:hAnsi="宋体"/>
                <w:color w:val="000000"/>
                <w:kern w:val="0"/>
                <w:sz w:val="24"/>
              </w:rPr>
            </w:pPr>
            <w:r>
              <w:rPr>
                <w:rFonts w:hint="eastAsia" w:ascii="宋体" w:hAnsi="宋体"/>
                <w:color w:val="000000"/>
                <w:kern w:val="0"/>
                <w:sz w:val="24"/>
              </w:rPr>
              <w:t>3</w:t>
            </w:r>
          </w:p>
        </w:tc>
      </w:tr>
      <w:tr>
        <w:tblPrEx>
          <w:tblCellMar>
            <w:top w:w="0" w:type="dxa"/>
            <w:left w:w="108" w:type="dxa"/>
            <w:bottom w:w="0" w:type="dxa"/>
            <w:right w:w="108" w:type="dxa"/>
          </w:tblCellMar>
        </w:tblPrEx>
        <w:trPr>
          <w:trHeight w:val="755" w:hRule="atLeast"/>
          <w:jc w:val="center"/>
        </w:trPr>
        <w:tc>
          <w:tcPr>
            <w:tcW w:w="65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olor w:val="000000"/>
                <w:kern w:val="0"/>
                <w:sz w:val="24"/>
              </w:rPr>
            </w:pPr>
          </w:p>
        </w:tc>
        <w:tc>
          <w:tcPr>
            <w:tcW w:w="71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olor w:val="000000"/>
                <w:kern w:val="0"/>
                <w:sz w:val="24"/>
              </w:rPr>
            </w:pPr>
          </w:p>
        </w:tc>
        <w:tc>
          <w:tcPr>
            <w:tcW w:w="1275" w:type="dxa"/>
            <w:tcBorders>
              <w:top w:val="nil"/>
              <w:left w:val="nil"/>
              <w:bottom w:val="single" w:color="auto" w:sz="4" w:space="0"/>
              <w:right w:val="single" w:color="auto" w:sz="4" w:space="0"/>
            </w:tcBorders>
            <w:vAlign w:val="center"/>
          </w:tcPr>
          <w:p>
            <w:pPr>
              <w:widowControl/>
              <w:jc w:val="center"/>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生态效益</w:t>
            </w:r>
          </w:p>
          <w:p>
            <w:pPr>
              <w:widowControl/>
              <w:jc w:val="center"/>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（3分）</w:t>
            </w:r>
          </w:p>
        </w:tc>
        <w:tc>
          <w:tcPr>
            <w:tcW w:w="3080" w:type="dxa"/>
            <w:tcBorders>
              <w:top w:val="nil"/>
              <w:left w:val="nil"/>
              <w:bottom w:val="single" w:color="auto" w:sz="4" w:space="0"/>
              <w:right w:val="single" w:color="auto" w:sz="4" w:space="0"/>
            </w:tcBorders>
            <w:vAlign w:val="center"/>
          </w:tcPr>
          <w:p>
            <w:pPr>
              <w:widowControl/>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项目实施对生态环境所带来的直接或间接影响情况。</w:t>
            </w:r>
          </w:p>
        </w:tc>
        <w:tc>
          <w:tcPr>
            <w:tcW w:w="436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宋体" w:eastAsia="仿宋_GB2312"/>
                <w:color w:val="000000"/>
                <w:kern w:val="0"/>
                <w:sz w:val="20"/>
                <w:szCs w:val="20"/>
              </w:rPr>
            </w:pPr>
          </w:p>
        </w:tc>
        <w:tc>
          <w:tcPr>
            <w:tcW w:w="524" w:type="dxa"/>
            <w:tcBorders>
              <w:top w:val="nil"/>
              <w:left w:val="single" w:color="auto" w:sz="4" w:space="0"/>
              <w:bottom w:val="single" w:color="000000" w:sz="4" w:space="0"/>
              <w:right w:val="single" w:color="auto" w:sz="4" w:space="0"/>
            </w:tcBorders>
          </w:tcPr>
          <w:p>
            <w:pPr>
              <w:widowControl/>
              <w:jc w:val="left"/>
              <w:rPr>
                <w:rFonts w:ascii="宋体" w:hAnsi="宋体"/>
                <w:color w:val="000000"/>
                <w:kern w:val="0"/>
                <w:sz w:val="24"/>
              </w:rPr>
            </w:pPr>
            <w:r>
              <w:rPr>
                <w:rFonts w:hint="eastAsia" w:ascii="宋体" w:hAnsi="宋体"/>
                <w:color w:val="000000"/>
                <w:kern w:val="0"/>
                <w:sz w:val="24"/>
              </w:rPr>
              <w:t>3</w:t>
            </w:r>
          </w:p>
        </w:tc>
      </w:tr>
      <w:tr>
        <w:tblPrEx>
          <w:tblCellMar>
            <w:top w:w="0" w:type="dxa"/>
            <w:left w:w="108" w:type="dxa"/>
            <w:bottom w:w="0" w:type="dxa"/>
            <w:right w:w="108" w:type="dxa"/>
          </w:tblCellMar>
        </w:tblPrEx>
        <w:trPr>
          <w:trHeight w:val="596" w:hRule="atLeast"/>
          <w:jc w:val="center"/>
        </w:trPr>
        <w:tc>
          <w:tcPr>
            <w:tcW w:w="65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olor w:val="000000"/>
                <w:kern w:val="0"/>
                <w:sz w:val="24"/>
              </w:rPr>
            </w:pPr>
          </w:p>
        </w:tc>
        <w:tc>
          <w:tcPr>
            <w:tcW w:w="71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olor w:val="000000"/>
                <w:kern w:val="0"/>
                <w:sz w:val="24"/>
              </w:rPr>
            </w:pPr>
          </w:p>
        </w:tc>
        <w:tc>
          <w:tcPr>
            <w:tcW w:w="1275" w:type="dxa"/>
            <w:tcBorders>
              <w:top w:val="nil"/>
              <w:left w:val="nil"/>
              <w:bottom w:val="single" w:color="auto" w:sz="4" w:space="0"/>
              <w:right w:val="single" w:color="auto" w:sz="4" w:space="0"/>
            </w:tcBorders>
            <w:vAlign w:val="center"/>
          </w:tcPr>
          <w:p>
            <w:pPr>
              <w:widowControl/>
              <w:jc w:val="center"/>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可持续影响（4分）</w:t>
            </w:r>
          </w:p>
        </w:tc>
        <w:tc>
          <w:tcPr>
            <w:tcW w:w="3080" w:type="dxa"/>
            <w:tcBorders>
              <w:top w:val="nil"/>
              <w:left w:val="nil"/>
              <w:bottom w:val="single" w:color="auto" w:sz="4" w:space="0"/>
              <w:right w:val="single" w:color="auto" w:sz="4" w:space="0"/>
            </w:tcBorders>
            <w:vAlign w:val="center"/>
          </w:tcPr>
          <w:p>
            <w:pPr>
              <w:widowControl/>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项目后续运行及成效发挥的可持续影响情况。</w:t>
            </w:r>
          </w:p>
        </w:tc>
        <w:tc>
          <w:tcPr>
            <w:tcW w:w="436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olor w:val="000000"/>
                <w:kern w:val="0"/>
                <w:sz w:val="24"/>
              </w:rPr>
            </w:pPr>
          </w:p>
        </w:tc>
        <w:tc>
          <w:tcPr>
            <w:tcW w:w="524" w:type="dxa"/>
            <w:tcBorders>
              <w:top w:val="nil"/>
              <w:left w:val="single" w:color="auto" w:sz="4" w:space="0"/>
              <w:bottom w:val="single" w:color="000000" w:sz="4" w:space="0"/>
              <w:right w:val="single" w:color="auto" w:sz="4" w:space="0"/>
            </w:tcBorders>
          </w:tcPr>
          <w:p>
            <w:pPr>
              <w:widowControl/>
              <w:jc w:val="left"/>
              <w:rPr>
                <w:rFonts w:ascii="宋体" w:hAnsi="宋体"/>
                <w:color w:val="000000"/>
                <w:kern w:val="0"/>
                <w:sz w:val="24"/>
              </w:rPr>
            </w:pPr>
            <w:r>
              <w:rPr>
                <w:rFonts w:hint="eastAsia" w:ascii="宋体" w:hAnsi="宋体"/>
                <w:color w:val="000000"/>
                <w:kern w:val="0"/>
                <w:sz w:val="24"/>
              </w:rPr>
              <w:t>4</w:t>
            </w:r>
          </w:p>
        </w:tc>
      </w:tr>
      <w:tr>
        <w:tblPrEx>
          <w:tblCellMar>
            <w:top w:w="0" w:type="dxa"/>
            <w:left w:w="108" w:type="dxa"/>
            <w:bottom w:w="0" w:type="dxa"/>
            <w:right w:w="108" w:type="dxa"/>
          </w:tblCellMar>
        </w:tblPrEx>
        <w:trPr>
          <w:trHeight w:val="916" w:hRule="atLeast"/>
          <w:jc w:val="center"/>
        </w:trPr>
        <w:tc>
          <w:tcPr>
            <w:tcW w:w="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olor w:val="000000"/>
                <w:kern w:val="0"/>
                <w:sz w:val="24"/>
              </w:rPr>
            </w:pPr>
          </w:p>
        </w:tc>
        <w:tc>
          <w:tcPr>
            <w:tcW w:w="71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olor w:val="000000"/>
                <w:kern w:val="0"/>
                <w:sz w:val="24"/>
              </w:rPr>
            </w:pPr>
          </w:p>
        </w:tc>
        <w:tc>
          <w:tcPr>
            <w:tcW w:w="1275" w:type="dxa"/>
            <w:tcBorders>
              <w:top w:val="nil"/>
              <w:left w:val="nil"/>
              <w:bottom w:val="single" w:color="auto" w:sz="4" w:space="0"/>
              <w:right w:val="single" w:color="auto" w:sz="4" w:space="0"/>
            </w:tcBorders>
            <w:vAlign w:val="center"/>
          </w:tcPr>
          <w:p>
            <w:pPr>
              <w:widowControl/>
              <w:jc w:val="center"/>
              <w:rPr>
                <w:rFonts w:ascii="仿宋_GB2312" w:hAnsi="宋体" w:eastAsia="仿宋_GB2312"/>
                <w:color w:val="000000"/>
                <w:kern w:val="0"/>
                <w:sz w:val="18"/>
                <w:szCs w:val="18"/>
              </w:rPr>
            </w:pPr>
            <w:r>
              <w:rPr>
                <w:rFonts w:hint="eastAsia" w:ascii="仿宋_GB2312" w:hAnsi="宋体" w:eastAsia="仿宋_GB2312"/>
                <w:color w:val="000000"/>
                <w:kern w:val="0"/>
                <w:sz w:val="18"/>
                <w:szCs w:val="18"/>
              </w:rPr>
              <w:t>社会公众或服务对象满意度（6分）</w:t>
            </w:r>
          </w:p>
        </w:tc>
        <w:tc>
          <w:tcPr>
            <w:tcW w:w="3080" w:type="dxa"/>
            <w:tcBorders>
              <w:top w:val="nil"/>
              <w:left w:val="nil"/>
              <w:bottom w:val="single" w:color="auto" w:sz="4" w:space="0"/>
              <w:right w:val="single" w:color="auto" w:sz="4" w:space="0"/>
            </w:tcBorders>
            <w:vAlign w:val="center"/>
          </w:tcPr>
          <w:p>
            <w:pPr>
              <w:widowControl/>
              <w:rPr>
                <w:rFonts w:ascii="仿宋_GB2312" w:hAnsi="宋体" w:eastAsia="仿宋_GB2312"/>
                <w:color w:val="000000"/>
                <w:kern w:val="0"/>
                <w:sz w:val="20"/>
                <w:szCs w:val="20"/>
              </w:rPr>
            </w:pPr>
            <w:r>
              <w:rPr>
                <w:rFonts w:hint="eastAsia" w:ascii="仿宋_GB2312" w:hAnsi="宋体" w:eastAsia="仿宋_GB2312"/>
                <w:color w:val="000000"/>
                <w:kern w:val="0"/>
                <w:sz w:val="20"/>
                <w:szCs w:val="20"/>
              </w:rPr>
              <w:t>社会公众或服务对象对项目实施效策的满意程度</w:t>
            </w:r>
          </w:p>
        </w:tc>
        <w:tc>
          <w:tcPr>
            <w:tcW w:w="4363" w:type="dxa"/>
            <w:tcBorders>
              <w:top w:val="nil"/>
              <w:left w:val="nil"/>
              <w:bottom w:val="single" w:color="auto" w:sz="4" w:space="0"/>
              <w:right w:val="single" w:color="auto" w:sz="4" w:space="0"/>
            </w:tcBorders>
            <w:vAlign w:val="center"/>
          </w:tcPr>
          <w:p>
            <w:pPr>
              <w:widowControl/>
              <w:rPr>
                <w:rFonts w:ascii="仿宋_GB2312" w:hAnsi="宋体" w:eastAsia="仿宋_GB2312"/>
                <w:color w:val="000000"/>
                <w:kern w:val="0"/>
                <w:sz w:val="18"/>
                <w:szCs w:val="18"/>
              </w:rPr>
            </w:pPr>
            <w:r>
              <w:rPr>
                <w:rFonts w:hint="eastAsia" w:ascii="仿宋_GB2312" w:hAnsi="宋体" w:eastAsia="仿宋_GB2312"/>
                <w:color w:val="000000"/>
                <w:kern w:val="0"/>
                <w:sz w:val="18"/>
                <w:szCs w:val="18"/>
              </w:rPr>
              <w:t>社会公众或服务对象是指因该项目实施而受到影响的部门(单位)、群体或个人。一般采取社会调查的方式。</w:t>
            </w:r>
          </w:p>
        </w:tc>
        <w:tc>
          <w:tcPr>
            <w:tcW w:w="524" w:type="dxa"/>
            <w:tcBorders>
              <w:top w:val="nil"/>
              <w:left w:val="nil"/>
              <w:bottom w:val="single" w:color="auto" w:sz="4" w:space="0"/>
              <w:right w:val="single" w:color="auto" w:sz="4" w:space="0"/>
            </w:tcBorders>
          </w:tcPr>
          <w:p>
            <w:pPr>
              <w:widowControl/>
              <w:rPr>
                <w:rFonts w:ascii="宋体" w:hAnsi="宋体"/>
                <w:color w:val="000000"/>
                <w:kern w:val="0"/>
                <w:sz w:val="24"/>
              </w:rPr>
            </w:pPr>
          </w:p>
          <w:p>
            <w:pPr>
              <w:widowControl/>
              <w:rPr>
                <w:rFonts w:ascii="宋体" w:hAnsi="宋体"/>
                <w:color w:val="000000"/>
                <w:kern w:val="0"/>
                <w:sz w:val="24"/>
              </w:rPr>
            </w:pPr>
            <w:r>
              <w:rPr>
                <w:rFonts w:hint="eastAsia" w:ascii="宋体" w:hAnsi="宋体"/>
                <w:color w:val="000000"/>
                <w:kern w:val="0"/>
                <w:sz w:val="24"/>
              </w:rPr>
              <w:t>6</w:t>
            </w:r>
          </w:p>
        </w:tc>
      </w:tr>
      <w:tr>
        <w:tblPrEx>
          <w:tblCellMar>
            <w:top w:w="0" w:type="dxa"/>
            <w:left w:w="108" w:type="dxa"/>
            <w:bottom w:w="0" w:type="dxa"/>
            <w:right w:w="108" w:type="dxa"/>
          </w:tblCellMar>
        </w:tblPrEx>
        <w:trPr>
          <w:trHeight w:val="916" w:hRule="atLeast"/>
          <w:jc w:val="center"/>
        </w:trPr>
        <w:tc>
          <w:tcPr>
            <w:tcW w:w="1366" w:type="dxa"/>
            <w:gridSpan w:val="2"/>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kern w:val="0"/>
                <w:sz w:val="24"/>
              </w:rPr>
            </w:pPr>
            <w:r>
              <w:rPr>
                <w:rFonts w:hint="eastAsia" w:ascii="宋体" w:hAnsi="宋体"/>
                <w:color w:val="000000"/>
                <w:kern w:val="0"/>
                <w:sz w:val="24"/>
              </w:rPr>
              <w:t>合计得分</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olor w:val="000000"/>
                <w:kern w:val="0"/>
                <w:sz w:val="18"/>
                <w:szCs w:val="18"/>
              </w:rPr>
            </w:pPr>
          </w:p>
        </w:tc>
        <w:tc>
          <w:tcPr>
            <w:tcW w:w="3080" w:type="dxa"/>
            <w:tcBorders>
              <w:top w:val="single" w:color="auto" w:sz="4" w:space="0"/>
              <w:left w:val="nil"/>
              <w:bottom w:val="single" w:color="auto" w:sz="4" w:space="0"/>
              <w:right w:val="single" w:color="auto" w:sz="4" w:space="0"/>
            </w:tcBorders>
            <w:vAlign w:val="center"/>
          </w:tcPr>
          <w:p>
            <w:pPr>
              <w:widowControl/>
              <w:rPr>
                <w:rFonts w:ascii="仿宋_GB2312" w:hAnsi="宋体" w:eastAsia="仿宋_GB2312"/>
                <w:color w:val="000000"/>
                <w:kern w:val="0"/>
                <w:sz w:val="20"/>
                <w:szCs w:val="20"/>
              </w:rPr>
            </w:pPr>
          </w:p>
        </w:tc>
        <w:tc>
          <w:tcPr>
            <w:tcW w:w="4363" w:type="dxa"/>
            <w:tcBorders>
              <w:top w:val="single" w:color="auto" w:sz="4" w:space="0"/>
              <w:left w:val="nil"/>
              <w:bottom w:val="single" w:color="auto" w:sz="4" w:space="0"/>
              <w:right w:val="single" w:color="auto" w:sz="4" w:space="0"/>
            </w:tcBorders>
            <w:vAlign w:val="center"/>
          </w:tcPr>
          <w:p>
            <w:pPr>
              <w:widowControl/>
              <w:rPr>
                <w:rFonts w:ascii="仿宋_GB2312" w:hAnsi="宋体" w:eastAsia="仿宋_GB2312"/>
                <w:color w:val="000000"/>
                <w:kern w:val="0"/>
                <w:sz w:val="18"/>
                <w:szCs w:val="18"/>
              </w:rPr>
            </w:pPr>
          </w:p>
        </w:tc>
        <w:tc>
          <w:tcPr>
            <w:tcW w:w="524" w:type="dxa"/>
            <w:tcBorders>
              <w:top w:val="single" w:color="auto" w:sz="4" w:space="0"/>
              <w:left w:val="nil"/>
              <w:bottom w:val="single" w:color="auto" w:sz="4" w:space="0"/>
              <w:right w:val="single" w:color="auto" w:sz="4" w:space="0"/>
            </w:tcBorders>
          </w:tcPr>
          <w:p>
            <w:pPr>
              <w:widowControl/>
              <w:rPr>
                <w:rFonts w:ascii="宋体" w:hAnsi="宋体"/>
                <w:color w:val="000000"/>
                <w:kern w:val="0"/>
                <w:sz w:val="24"/>
              </w:rPr>
            </w:pPr>
          </w:p>
          <w:p>
            <w:pPr>
              <w:widowControl/>
              <w:rPr>
                <w:rFonts w:ascii="宋体" w:hAnsi="宋体"/>
                <w:color w:val="000000"/>
                <w:kern w:val="0"/>
                <w:sz w:val="24"/>
              </w:rPr>
            </w:pPr>
            <w:r>
              <w:rPr>
                <w:rFonts w:hint="eastAsia" w:ascii="宋体" w:hAnsi="宋体"/>
                <w:color w:val="000000"/>
                <w:kern w:val="0"/>
                <w:sz w:val="24"/>
              </w:rPr>
              <w:t>96</w:t>
            </w:r>
          </w:p>
        </w:tc>
      </w:tr>
    </w:tbl>
    <w:p>
      <w:pPr>
        <w:widowControl/>
      </w:pPr>
    </w:p>
    <w:p>
      <w:pPr>
        <w:adjustRightInd w:val="0"/>
        <w:snapToGrid w:val="0"/>
        <w:spacing w:line="560" w:lineRule="exact"/>
        <w:rPr>
          <w:rFonts w:ascii="仿宋" w:hAnsi="仿宋" w:eastAsia="仿宋" w:cs="仿宋"/>
          <w:sz w:val="32"/>
          <w:szCs w:val="32"/>
        </w:rPr>
      </w:pPr>
    </w:p>
    <w:p>
      <w:pPr>
        <w:adjustRightInd w:val="0"/>
        <w:snapToGrid w:val="0"/>
        <w:spacing w:line="560" w:lineRule="exact"/>
        <w:rPr>
          <w:rFonts w:ascii="仿宋" w:hAnsi="仿宋" w:eastAsia="仿宋" w:cs="仿宋"/>
          <w:sz w:val="32"/>
          <w:szCs w:val="32"/>
        </w:rPr>
      </w:pPr>
    </w:p>
    <w:p>
      <w:pPr>
        <w:adjustRightInd w:val="0"/>
        <w:snapToGrid w:val="0"/>
        <w:spacing w:line="560" w:lineRule="exact"/>
        <w:rPr>
          <w:rFonts w:ascii="仿宋" w:hAnsi="仿宋" w:eastAsia="仿宋" w:cs="仿宋"/>
          <w:sz w:val="32"/>
          <w:szCs w:val="32"/>
        </w:rPr>
      </w:pPr>
    </w:p>
    <w:p>
      <w:pPr>
        <w:adjustRightInd w:val="0"/>
        <w:snapToGrid w:val="0"/>
        <w:spacing w:line="560" w:lineRule="exact"/>
        <w:rPr>
          <w:rFonts w:ascii="仿宋" w:hAnsi="仿宋" w:eastAsia="仿宋" w:cs="仿宋"/>
          <w:sz w:val="32"/>
          <w:szCs w:val="32"/>
        </w:rPr>
      </w:pPr>
    </w:p>
    <w:p>
      <w:pPr>
        <w:jc w:val="both"/>
        <w:rPr>
          <w:b/>
          <w:sz w:val="32"/>
          <w:szCs w:val="32"/>
        </w:rPr>
      </w:pPr>
    </w:p>
    <w:sectPr>
      <w:footerReference r:id="rId5" w:type="default"/>
      <w:pgSz w:w="11906" w:h="16838"/>
      <w:pgMar w:top="1440" w:right="1800" w:bottom="1440" w:left="16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C0D3A32-5ECB-4A72-A1AF-3AA2165DBC56}"/>
  </w:font>
  <w:font w:name="Arial">
    <w:panose1 w:val="020B0604020202020204"/>
    <w:charset w:val="01"/>
    <w:family w:val="swiss"/>
    <w:pitch w:val="default"/>
    <w:sig w:usb0="E0002AFF" w:usb1="C0007843" w:usb2="00000009" w:usb3="00000000" w:csb0="400001FF" w:csb1="FFFF0000"/>
    <w:embedRegular r:id="rId2" w:fontKey="{464B53F1-5D20-483F-A19B-B807CC02BE1D}"/>
  </w:font>
  <w:font w:name="黑体">
    <w:panose1 w:val="02010609060101010101"/>
    <w:charset w:val="86"/>
    <w:family w:val="auto"/>
    <w:pitch w:val="default"/>
    <w:sig w:usb0="800002BF" w:usb1="38CF7CFA" w:usb2="00000016" w:usb3="00000000" w:csb0="00040001" w:csb1="00000000"/>
    <w:embedRegular r:id="rId3" w:fontKey="{3BABFEFB-5D06-471F-A18E-90F33D782BD9}"/>
  </w:font>
  <w:font w:name="Courier New">
    <w:panose1 w:val="02070309020205020404"/>
    <w:charset w:val="01"/>
    <w:family w:val="modern"/>
    <w:pitch w:val="default"/>
    <w:sig w:usb0="E0002AFF" w:usb1="C0007843" w:usb2="00000009" w:usb3="00000000" w:csb0="400001FF" w:csb1="FFFF0000"/>
    <w:embedRegular r:id="rId4" w:fontKey="{1A633034-511E-4239-96E8-6EF10662C676}"/>
  </w:font>
  <w:font w:name="Symbol">
    <w:panose1 w:val="05050102010706020507"/>
    <w:charset w:val="02"/>
    <w:family w:val="roman"/>
    <w:pitch w:val="default"/>
    <w:sig w:usb0="00000000" w:usb1="00000000" w:usb2="00000000" w:usb3="00000000" w:csb0="80000000" w:csb1="00000000"/>
    <w:embedRegular r:id="rId5" w:fontKey="{672344C4-22E6-4841-AE7A-E58340C78D78}"/>
  </w:font>
  <w:font w:name="Calibri">
    <w:panose1 w:val="020F0502020204030204"/>
    <w:charset w:val="00"/>
    <w:family w:val="swiss"/>
    <w:pitch w:val="default"/>
    <w:sig w:usb0="E00002FF" w:usb1="4000ACFF" w:usb2="00000001" w:usb3="00000000" w:csb0="2000019F" w:csb1="00000000"/>
    <w:embedRegular r:id="rId6" w:fontKey="{96444319-0579-44CB-8E82-C84C73A6601F}"/>
  </w:font>
  <w:font w:name="华文中宋">
    <w:altName w:val="宋体"/>
    <w:panose1 w:val="02010600040101010101"/>
    <w:charset w:val="86"/>
    <w:family w:val="auto"/>
    <w:pitch w:val="default"/>
    <w:sig w:usb0="00000000" w:usb1="00000000" w:usb2="00000000" w:usb3="00000000" w:csb0="0004009F" w:csb1="DFD70000"/>
  </w:font>
  <w:font w:name="仿宋_GB2312">
    <w:panose1 w:val="02010609030101010101"/>
    <w:charset w:val="86"/>
    <w:family w:val="modern"/>
    <w:pitch w:val="default"/>
    <w:sig w:usb0="00000001" w:usb1="080E0000" w:usb2="00000000" w:usb3="00000000" w:csb0="00040000" w:csb1="00000000"/>
    <w:embedRegular r:id="rId7" w:fontKey="{26FF7528-3C11-46B2-B3F0-A4ACAB749183}"/>
  </w:font>
  <w:font w:name="仿宋">
    <w:panose1 w:val="02010609060101010101"/>
    <w:charset w:val="86"/>
    <w:family w:val="modern"/>
    <w:pitch w:val="default"/>
    <w:sig w:usb0="800002BF" w:usb1="38CF7CFA" w:usb2="00000016" w:usb3="00000000" w:csb0="00040001" w:csb1="00000000"/>
    <w:embedRegular r:id="rId8" w:fontKey="{71C997AF-3D58-4BFA-B319-88C98649F8A2}"/>
  </w:font>
  <w:font w:name="方正小标宋简体">
    <w:panose1 w:val="03000509000000000000"/>
    <w:charset w:val="86"/>
    <w:family w:val="auto"/>
    <w:pitch w:val="default"/>
    <w:sig w:usb0="00000001" w:usb1="080E0000" w:usb2="00000000" w:usb3="00000000" w:csb0="00040000" w:csb1="00000000"/>
    <w:embedRegular r:id="rId9" w:fontKey="{6C7C9DED-E82D-4F82-AB2C-E835488B9C49}"/>
  </w:font>
  <w:font w:name="楷体_GB2312">
    <w:panose1 w:val="02010609030101010101"/>
    <w:charset w:val="86"/>
    <w:family w:val="auto"/>
    <w:pitch w:val="default"/>
    <w:sig w:usb0="00000001" w:usb1="080E0000" w:usb2="00000000" w:usb3="00000000" w:csb0="00040000" w:csb1="00000000"/>
    <w:embedRegular r:id="rId10" w:fontKey="{40E3F359-733F-4118-A329-9B2350AC9790}"/>
  </w:font>
  <w:font w:name="方正小标宋_GBK">
    <w:panose1 w:val="03000509000000000000"/>
    <w:charset w:val="86"/>
    <w:family w:val="script"/>
    <w:pitch w:val="default"/>
    <w:sig w:usb0="00000001" w:usb1="080E0000" w:usb2="00000000" w:usb3="00000000" w:csb0="00040000" w:csb1="00000000"/>
    <w:embedRegular r:id="rId11" w:fontKey="{782D19B9-F5E9-443C-8480-E16ECDD3AE69}"/>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embedRegular r:id="rId12" w:fontKey="{68AE1AFB-1C03-4011-B423-3314717922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wrap="none" lIns="0" tIns="0" rIns="0" bIns="0" upright="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FWH/vPLAQAAnAMAAA4AAAAAAAAAAQAgAAAAHgEAAGRycy9lMm9E&#10;b2MueG1sUEsFBgAAAAAGAAYAWQEAAFsFAAAAAA==&#10;">
              <v:fill on="f" focussize="0,0"/>
              <v:stroke on="f"/>
              <v:imagedata o:title=""/>
              <o:lock v:ext="edit" aspectratio="f"/>
              <v:textbox inset="0mm,0mm,0mm,0mm" style="mso-fit-shape-to-text:t;">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wrap="none" lIns="0" tIns="0" rIns="0" bIns="0" upright="0">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Hz+ssoBAACcAwAADgAAAGRycy9lMm9Eb2MueG1srVPNjtMwEL4j8Q6W&#10;79RphaCK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tuGvqTEcYsDv3z/dvnx6/LzK1lW&#10;q9dZoT5AjYl3AVPT8NYPuDezH9CZiQ8q2vxFSgTjqO/5qq8cEhH50Xq1XlcYEhibL4jPHp6HCOmd&#10;9JZko6ERB1h05acPkMbUOSVXc/5WG1OGaNxfDsTMHpZ7H3vMVhr2w0Ro79sz8ulx9g11uOqUmPcO&#10;pc1rMhtxNvazcQxRH7qyR7kehDfHhE2U3nKFEXYqjEMr7KYFy1vx571kPfxU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bHz+ssoBAACcAwAADgAAAAAAAAABACAAAAAeAQAAZHJzL2Uyb0Rv&#10;Yy54bWxQSwUGAAAAAAYABgBZAQAAWgUAAAAA&#10;">
              <v:fill on="f" focussize="0,0"/>
              <v:stroke on="f"/>
              <v:imagedata o:title=""/>
              <o:lock v:ext="edit" aspectratio="f"/>
              <v:textbox inset="0mm,0mm,0mm,0mm" style="mso-fit-shape-to-text:t;">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wrap="none" lIns="0" tIns="0" rIns="0" bIns="0" upright="0">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4plRcoBAACcAwAADgAAAGRycy9lMm9Eb2MueG1srVPNjtMwEL4j8Q6W&#10;79RpkaCK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tuGvqTEcYsDv3z/dvnx6/LzK1lW&#10;q9dZoT5AjYl3AVPT8NYPuDezH9CZiQ8q2vxFSgTjqO/5qq8cEhH50Xq1XlcYEhibL4jPHp6HCOmd&#10;9JZko6ERB1h05acPkMbUOSVXc/5WG1OGaNxfDsTMHpZ7H3vMVhr2w0Ro79sz8ulx9g11uOqUmPcO&#10;pc1rMhtxNvazcQxRH7qyR7kehDfHhE2U3nKFEXYqjEMr7KYFy1vx571kPfxU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n4plRcoBAACcAwAADgAAAAAAAAABACAAAAAeAQAAZHJzL2Uyb0Rv&#10;Yy54bWxQSwUGAAAAAAYABgBZAQAAWgUAAAAA&#10;">
              <v:fill on="f" focussize="0,0"/>
              <v:stroke on="f"/>
              <v:imagedata o:title=""/>
              <o:lock v:ext="edit" aspectratio="f"/>
              <v:textbox inset="0mm,0mm,0mm,0mm" style="mso-fit-shape-to-text:t;">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r>
      <w:rPr>
        <w:rFonts w:hint="eastAsia"/>
        <w:lang w:eastAsia="zh-CN"/>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9E760B1"/>
    <w:multiLevelType w:val="singleLevel"/>
    <w:tmpl w:val="E9E760B1"/>
    <w:lvl w:ilvl="0" w:tentative="0">
      <w:start w:val="4"/>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ZmNDY2ZGQ3NmJlZGM2YzUwMjJmNjQ4YzU0ZTk3NGUifQ=="/>
  </w:docVars>
  <w:rsids>
    <w:rsidRoot w:val="0043106A"/>
    <w:rsid w:val="000006CB"/>
    <w:rsid w:val="0000497B"/>
    <w:rsid w:val="000104BB"/>
    <w:rsid w:val="0001607F"/>
    <w:rsid w:val="0001654D"/>
    <w:rsid w:val="00023B34"/>
    <w:rsid w:val="0002650D"/>
    <w:rsid w:val="00026D11"/>
    <w:rsid w:val="0003247C"/>
    <w:rsid w:val="00032702"/>
    <w:rsid w:val="0003514F"/>
    <w:rsid w:val="00040DEB"/>
    <w:rsid w:val="00042DF5"/>
    <w:rsid w:val="000438B0"/>
    <w:rsid w:val="000603D5"/>
    <w:rsid w:val="0006137E"/>
    <w:rsid w:val="0006311C"/>
    <w:rsid w:val="0006759C"/>
    <w:rsid w:val="0007151F"/>
    <w:rsid w:val="00077444"/>
    <w:rsid w:val="000839C6"/>
    <w:rsid w:val="00093F63"/>
    <w:rsid w:val="000A0D64"/>
    <w:rsid w:val="000A3E19"/>
    <w:rsid w:val="000A5750"/>
    <w:rsid w:val="000B3BF8"/>
    <w:rsid w:val="000B451B"/>
    <w:rsid w:val="000B7786"/>
    <w:rsid w:val="000C063A"/>
    <w:rsid w:val="000C42D3"/>
    <w:rsid w:val="000D0BE6"/>
    <w:rsid w:val="000E217D"/>
    <w:rsid w:val="000E4030"/>
    <w:rsid w:val="000F29DF"/>
    <w:rsid w:val="000F4461"/>
    <w:rsid w:val="001071CF"/>
    <w:rsid w:val="001076B3"/>
    <w:rsid w:val="00115173"/>
    <w:rsid w:val="0011629F"/>
    <w:rsid w:val="00126801"/>
    <w:rsid w:val="00126CE1"/>
    <w:rsid w:val="001312D3"/>
    <w:rsid w:val="00133800"/>
    <w:rsid w:val="001369E1"/>
    <w:rsid w:val="001616F2"/>
    <w:rsid w:val="00164B35"/>
    <w:rsid w:val="00164F9A"/>
    <w:rsid w:val="00165F60"/>
    <w:rsid w:val="001704C8"/>
    <w:rsid w:val="00174C1D"/>
    <w:rsid w:val="00184D96"/>
    <w:rsid w:val="001A04E7"/>
    <w:rsid w:val="001A3646"/>
    <w:rsid w:val="001B0624"/>
    <w:rsid w:val="001D3DCD"/>
    <w:rsid w:val="001D4485"/>
    <w:rsid w:val="001E44B9"/>
    <w:rsid w:val="001F398B"/>
    <w:rsid w:val="001F3DB5"/>
    <w:rsid w:val="00210A7F"/>
    <w:rsid w:val="00216624"/>
    <w:rsid w:val="00223C56"/>
    <w:rsid w:val="0022440C"/>
    <w:rsid w:val="00244546"/>
    <w:rsid w:val="00252D5A"/>
    <w:rsid w:val="00253DA1"/>
    <w:rsid w:val="00257F61"/>
    <w:rsid w:val="00266D1D"/>
    <w:rsid w:val="00267676"/>
    <w:rsid w:val="002708E5"/>
    <w:rsid w:val="00271C88"/>
    <w:rsid w:val="00273726"/>
    <w:rsid w:val="002861A9"/>
    <w:rsid w:val="00287E01"/>
    <w:rsid w:val="002A006A"/>
    <w:rsid w:val="002A3632"/>
    <w:rsid w:val="002A39A9"/>
    <w:rsid w:val="002A78EF"/>
    <w:rsid w:val="002A7C44"/>
    <w:rsid w:val="002B2D46"/>
    <w:rsid w:val="002B4284"/>
    <w:rsid w:val="002B67FC"/>
    <w:rsid w:val="002C3330"/>
    <w:rsid w:val="002C5193"/>
    <w:rsid w:val="002C661D"/>
    <w:rsid w:val="002C6BD9"/>
    <w:rsid w:val="002D1077"/>
    <w:rsid w:val="002D41FE"/>
    <w:rsid w:val="002D427F"/>
    <w:rsid w:val="002E2483"/>
    <w:rsid w:val="002E3BF6"/>
    <w:rsid w:val="002E4C03"/>
    <w:rsid w:val="002E7917"/>
    <w:rsid w:val="002F37C2"/>
    <w:rsid w:val="002F4105"/>
    <w:rsid w:val="002F6EC8"/>
    <w:rsid w:val="00302C05"/>
    <w:rsid w:val="003063F4"/>
    <w:rsid w:val="0030757B"/>
    <w:rsid w:val="0031073D"/>
    <w:rsid w:val="0031138C"/>
    <w:rsid w:val="0031409B"/>
    <w:rsid w:val="003215EE"/>
    <w:rsid w:val="00323DCF"/>
    <w:rsid w:val="00330DBF"/>
    <w:rsid w:val="00332115"/>
    <w:rsid w:val="00342F6E"/>
    <w:rsid w:val="00351627"/>
    <w:rsid w:val="00357F22"/>
    <w:rsid w:val="0036393B"/>
    <w:rsid w:val="003664F4"/>
    <w:rsid w:val="00371419"/>
    <w:rsid w:val="00371504"/>
    <w:rsid w:val="00376DC7"/>
    <w:rsid w:val="00377AAF"/>
    <w:rsid w:val="00381B5C"/>
    <w:rsid w:val="00384BD5"/>
    <w:rsid w:val="00387F72"/>
    <w:rsid w:val="003922B5"/>
    <w:rsid w:val="003948D6"/>
    <w:rsid w:val="003A2C7C"/>
    <w:rsid w:val="003A5A55"/>
    <w:rsid w:val="003B02DE"/>
    <w:rsid w:val="003B5C08"/>
    <w:rsid w:val="003B7B05"/>
    <w:rsid w:val="003C5FBD"/>
    <w:rsid w:val="003C6FF3"/>
    <w:rsid w:val="003D0782"/>
    <w:rsid w:val="003D1452"/>
    <w:rsid w:val="003D2E67"/>
    <w:rsid w:val="003D407D"/>
    <w:rsid w:val="003E1AC9"/>
    <w:rsid w:val="003E69B2"/>
    <w:rsid w:val="003F22A3"/>
    <w:rsid w:val="003F3B21"/>
    <w:rsid w:val="004067C9"/>
    <w:rsid w:val="004168E3"/>
    <w:rsid w:val="004200C8"/>
    <w:rsid w:val="0042350B"/>
    <w:rsid w:val="00423FAF"/>
    <w:rsid w:val="004258B3"/>
    <w:rsid w:val="00426BD9"/>
    <w:rsid w:val="0043106A"/>
    <w:rsid w:val="004339BC"/>
    <w:rsid w:val="00445905"/>
    <w:rsid w:val="00452A44"/>
    <w:rsid w:val="00465AF5"/>
    <w:rsid w:val="00477253"/>
    <w:rsid w:val="00495A58"/>
    <w:rsid w:val="004C0072"/>
    <w:rsid w:val="004C1458"/>
    <w:rsid w:val="004C1595"/>
    <w:rsid w:val="004D222E"/>
    <w:rsid w:val="004D25EF"/>
    <w:rsid w:val="004D68D7"/>
    <w:rsid w:val="004D7501"/>
    <w:rsid w:val="004E4621"/>
    <w:rsid w:val="004F1DD2"/>
    <w:rsid w:val="004F2A82"/>
    <w:rsid w:val="004F5FE5"/>
    <w:rsid w:val="004F70BA"/>
    <w:rsid w:val="00502562"/>
    <w:rsid w:val="0050313B"/>
    <w:rsid w:val="00506B7F"/>
    <w:rsid w:val="005101D1"/>
    <w:rsid w:val="00516107"/>
    <w:rsid w:val="0051750A"/>
    <w:rsid w:val="00522037"/>
    <w:rsid w:val="00533D64"/>
    <w:rsid w:val="00537178"/>
    <w:rsid w:val="00543B47"/>
    <w:rsid w:val="005470A6"/>
    <w:rsid w:val="00550179"/>
    <w:rsid w:val="00552DFB"/>
    <w:rsid w:val="0055589E"/>
    <w:rsid w:val="00557FB3"/>
    <w:rsid w:val="00560BE1"/>
    <w:rsid w:val="00570657"/>
    <w:rsid w:val="00571F9A"/>
    <w:rsid w:val="00580FF7"/>
    <w:rsid w:val="00582D7E"/>
    <w:rsid w:val="005848C3"/>
    <w:rsid w:val="00586E86"/>
    <w:rsid w:val="005944A9"/>
    <w:rsid w:val="005B4887"/>
    <w:rsid w:val="005B50A6"/>
    <w:rsid w:val="005B6425"/>
    <w:rsid w:val="005C6ED0"/>
    <w:rsid w:val="005D3DC5"/>
    <w:rsid w:val="005E1B89"/>
    <w:rsid w:val="005E47FB"/>
    <w:rsid w:val="005E5F1F"/>
    <w:rsid w:val="005E79CE"/>
    <w:rsid w:val="005F24AD"/>
    <w:rsid w:val="005F6974"/>
    <w:rsid w:val="00600715"/>
    <w:rsid w:val="0060122E"/>
    <w:rsid w:val="0060216F"/>
    <w:rsid w:val="00603FD2"/>
    <w:rsid w:val="00606548"/>
    <w:rsid w:val="00606913"/>
    <w:rsid w:val="00622C2C"/>
    <w:rsid w:val="006276C0"/>
    <w:rsid w:val="00634FE5"/>
    <w:rsid w:val="00635B94"/>
    <w:rsid w:val="00635EC1"/>
    <w:rsid w:val="006366C2"/>
    <w:rsid w:val="0063729F"/>
    <w:rsid w:val="006405F6"/>
    <w:rsid w:val="0065381C"/>
    <w:rsid w:val="006553DC"/>
    <w:rsid w:val="00660D70"/>
    <w:rsid w:val="00661916"/>
    <w:rsid w:val="0066200F"/>
    <w:rsid w:val="00663B5C"/>
    <w:rsid w:val="006666BC"/>
    <w:rsid w:val="00670EFA"/>
    <w:rsid w:val="00673FA2"/>
    <w:rsid w:val="006850D8"/>
    <w:rsid w:val="00686CF9"/>
    <w:rsid w:val="00690170"/>
    <w:rsid w:val="006911F7"/>
    <w:rsid w:val="00692485"/>
    <w:rsid w:val="00696350"/>
    <w:rsid w:val="0069753D"/>
    <w:rsid w:val="006A0940"/>
    <w:rsid w:val="006B43B9"/>
    <w:rsid w:val="006B5BF3"/>
    <w:rsid w:val="006C1D39"/>
    <w:rsid w:val="006D0F61"/>
    <w:rsid w:val="006E3EBC"/>
    <w:rsid w:val="007023B0"/>
    <w:rsid w:val="00702404"/>
    <w:rsid w:val="00704A1C"/>
    <w:rsid w:val="00713E47"/>
    <w:rsid w:val="00715554"/>
    <w:rsid w:val="007247D1"/>
    <w:rsid w:val="00727CE4"/>
    <w:rsid w:val="007303E8"/>
    <w:rsid w:val="00734078"/>
    <w:rsid w:val="0073526C"/>
    <w:rsid w:val="007518B1"/>
    <w:rsid w:val="007528BE"/>
    <w:rsid w:val="007534BB"/>
    <w:rsid w:val="00777366"/>
    <w:rsid w:val="00780E80"/>
    <w:rsid w:val="00786E3D"/>
    <w:rsid w:val="00796EEF"/>
    <w:rsid w:val="007B7E2B"/>
    <w:rsid w:val="007C6A21"/>
    <w:rsid w:val="007D0C33"/>
    <w:rsid w:val="007D441D"/>
    <w:rsid w:val="007D4666"/>
    <w:rsid w:val="007E1263"/>
    <w:rsid w:val="007E1F78"/>
    <w:rsid w:val="007F430E"/>
    <w:rsid w:val="008017DB"/>
    <w:rsid w:val="00801C21"/>
    <w:rsid w:val="0080564E"/>
    <w:rsid w:val="00805737"/>
    <w:rsid w:val="00810007"/>
    <w:rsid w:val="00813D7E"/>
    <w:rsid w:val="00815951"/>
    <w:rsid w:val="00822AD3"/>
    <w:rsid w:val="00825374"/>
    <w:rsid w:val="0082680C"/>
    <w:rsid w:val="00831369"/>
    <w:rsid w:val="008406EA"/>
    <w:rsid w:val="00845AAF"/>
    <w:rsid w:val="0084670D"/>
    <w:rsid w:val="00850E16"/>
    <w:rsid w:val="0085642E"/>
    <w:rsid w:val="00861CF8"/>
    <w:rsid w:val="008672C8"/>
    <w:rsid w:val="00872A32"/>
    <w:rsid w:val="00877B8B"/>
    <w:rsid w:val="0088497F"/>
    <w:rsid w:val="0089788A"/>
    <w:rsid w:val="00897A54"/>
    <w:rsid w:val="008A0742"/>
    <w:rsid w:val="008A1A61"/>
    <w:rsid w:val="008B16BA"/>
    <w:rsid w:val="008B48FD"/>
    <w:rsid w:val="008B674C"/>
    <w:rsid w:val="008C6DAE"/>
    <w:rsid w:val="008E6593"/>
    <w:rsid w:val="008E740A"/>
    <w:rsid w:val="008F06C6"/>
    <w:rsid w:val="008F7AB4"/>
    <w:rsid w:val="00903609"/>
    <w:rsid w:val="0090668B"/>
    <w:rsid w:val="00917931"/>
    <w:rsid w:val="00924CA9"/>
    <w:rsid w:val="0092743A"/>
    <w:rsid w:val="009418A8"/>
    <w:rsid w:val="00942FCC"/>
    <w:rsid w:val="00951395"/>
    <w:rsid w:val="00954C18"/>
    <w:rsid w:val="00961967"/>
    <w:rsid w:val="00962823"/>
    <w:rsid w:val="00967C6F"/>
    <w:rsid w:val="00971EDE"/>
    <w:rsid w:val="00974D7C"/>
    <w:rsid w:val="00976DEF"/>
    <w:rsid w:val="009805BC"/>
    <w:rsid w:val="00980A93"/>
    <w:rsid w:val="00983A0E"/>
    <w:rsid w:val="009856AD"/>
    <w:rsid w:val="009867B0"/>
    <w:rsid w:val="009A1BE2"/>
    <w:rsid w:val="009C0464"/>
    <w:rsid w:val="009C2AE4"/>
    <w:rsid w:val="009C73E9"/>
    <w:rsid w:val="009E176B"/>
    <w:rsid w:val="009E4A93"/>
    <w:rsid w:val="009F1A58"/>
    <w:rsid w:val="009F2B55"/>
    <w:rsid w:val="00A06621"/>
    <w:rsid w:val="00A14BDA"/>
    <w:rsid w:val="00A23DE6"/>
    <w:rsid w:val="00A2665C"/>
    <w:rsid w:val="00A34222"/>
    <w:rsid w:val="00A35C6C"/>
    <w:rsid w:val="00A51F67"/>
    <w:rsid w:val="00A533E2"/>
    <w:rsid w:val="00A56848"/>
    <w:rsid w:val="00A71A7B"/>
    <w:rsid w:val="00A73149"/>
    <w:rsid w:val="00A81280"/>
    <w:rsid w:val="00A832FF"/>
    <w:rsid w:val="00A8434B"/>
    <w:rsid w:val="00A93965"/>
    <w:rsid w:val="00A974D1"/>
    <w:rsid w:val="00AA05EF"/>
    <w:rsid w:val="00AA7ECF"/>
    <w:rsid w:val="00AB23C9"/>
    <w:rsid w:val="00AD2A4D"/>
    <w:rsid w:val="00AE27F1"/>
    <w:rsid w:val="00AE6E86"/>
    <w:rsid w:val="00AF0E70"/>
    <w:rsid w:val="00AF4D2C"/>
    <w:rsid w:val="00AF4D80"/>
    <w:rsid w:val="00AF76BE"/>
    <w:rsid w:val="00B034C5"/>
    <w:rsid w:val="00B11012"/>
    <w:rsid w:val="00B14B51"/>
    <w:rsid w:val="00B178CE"/>
    <w:rsid w:val="00B2279A"/>
    <w:rsid w:val="00B23A5F"/>
    <w:rsid w:val="00B258DB"/>
    <w:rsid w:val="00B32233"/>
    <w:rsid w:val="00B41FE5"/>
    <w:rsid w:val="00B434C3"/>
    <w:rsid w:val="00B53849"/>
    <w:rsid w:val="00B543C5"/>
    <w:rsid w:val="00B54CB2"/>
    <w:rsid w:val="00B5565B"/>
    <w:rsid w:val="00B55FD3"/>
    <w:rsid w:val="00B623EE"/>
    <w:rsid w:val="00B627DB"/>
    <w:rsid w:val="00B64D60"/>
    <w:rsid w:val="00B66DA1"/>
    <w:rsid w:val="00B73015"/>
    <w:rsid w:val="00B7425B"/>
    <w:rsid w:val="00B861DF"/>
    <w:rsid w:val="00B908FE"/>
    <w:rsid w:val="00B938E0"/>
    <w:rsid w:val="00B94E46"/>
    <w:rsid w:val="00B97023"/>
    <w:rsid w:val="00BA2459"/>
    <w:rsid w:val="00BA273B"/>
    <w:rsid w:val="00BA3814"/>
    <w:rsid w:val="00BA4FA8"/>
    <w:rsid w:val="00BA5486"/>
    <w:rsid w:val="00BB18FA"/>
    <w:rsid w:val="00BC1D76"/>
    <w:rsid w:val="00BC307B"/>
    <w:rsid w:val="00BC4849"/>
    <w:rsid w:val="00BD22DF"/>
    <w:rsid w:val="00BD4CB9"/>
    <w:rsid w:val="00BD6019"/>
    <w:rsid w:val="00BE1DD0"/>
    <w:rsid w:val="00BE1FC3"/>
    <w:rsid w:val="00BE2568"/>
    <w:rsid w:val="00BE26BB"/>
    <w:rsid w:val="00BF4099"/>
    <w:rsid w:val="00BF6846"/>
    <w:rsid w:val="00BF78EC"/>
    <w:rsid w:val="00C07C30"/>
    <w:rsid w:val="00C10E65"/>
    <w:rsid w:val="00C1581F"/>
    <w:rsid w:val="00C224ED"/>
    <w:rsid w:val="00C25849"/>
    <w:rsid w:val="00C31C50"/>
    <w:rsid w:val="00C41DBF"/>
    <w:rsid w:val="00C508F5"/>
    <w:rsid w:val="00C51132"/>
    <w:rsid w:val="00C56771"/>
    <w:rsid w:val="00C62F81"/>
    <w:rsid w:val="00C63CEF"/>
    <w:rsid w:val="00C63DC9"/>
    <w:rsid w:val="00C643BF"/>
    <w:rsid w:val="00C65796"/>
    <w:rsid w:val="00C81E4C"/>
    <w:rsid w:val="00C83153"/>
    <w:rsid w:val="00C93E05"/>
    <w:rsid w:val="00C97B5C"/>
    <w:rsid w:val="00CA1B37"/>
    <w:rsid w:val="00CA32AE"/>
    <w:rsid w:val="00CC0179"/>
    <w:rsid w:val="00CD48CE"/>
    <w:rsid w:val="00CE17E4"/>
    <w:rsid w:val="00CE3C8E"/>
    <w:rsid w:val="00CE4C19"/>
    <w:rsid w:val="00CF6474"/>
    <w:rsid w:val="00D00FA9"/>
    <w:rsid w:val="00D12C52"/>
    <w:rsid w:val="00D14A3D"/>
    <w:rsid w:val="00D20DC8"/>
    <w:rsid w:val="00D31458"/>
    <w:rsid w:val="00D31710"/>
    <w:rsid w:val="00D32536"/>
    <w:rsid w:val="00D34277"/>
    <w:rsid w:val="00D36AEB"/>
    <w:rsid w:val="00D628EA"/>
    <w:rsid w:val="00D67D9B"/>
    <w:rsid w:val="00D70505"/>
    <w:rsid w:val="00D8164C"/>
    <w:rsid w:val="00D85F07"/>
    <w:rsid w:val="00D9132E"/>
    <w:rsid w:val="00D917B0"/>
    <w:rsid w:val="00D93F1B"/>
    <w:rsid w:val="00D97979"/>
    <w:rsid w:val="00DA648A"/>
    <w:rsid w:val="00DB098E"/>
    <w:rsid w:val="00DB201F"/>
    <w:rsid w:val="00DB45C0"/>
    <w:rsid w:val="00DC0B77"/>
    <w:rsid w:val="00DC7E68"/>
    <w:rsid w:val="00DD1197"/>
    <w:rsid w:val="00DD2D9A"/>
    <w:rsid w:val="00DD77C7"/>
    <w:rsid w:val="00DE463F"/>
    <w:rsid w:val="00DF04AE"/>
    <w:rsid w:val="00DF064D"/>
    <w:rsid w:val="00DF1457"/>
    <w:rsid w:val="00DF71DA"/>
    <w:rsid w:val="00E00A60"/>
    <w:rsid w:val="00E0346F"/>
    <w:rsid w:val="00E12BC9"/>
    <w:rsid w:val="00E160C1"/>
    <w:rsid w:val="00E21A46"/>
    <w:rsid w:val="00E21A5A"/>
    <w:rsid w:val="00E21C3C"/>
    <w:rsid w:val="00E229D4"/>
    <w:rsid w:val="00E349C7"/>
    <w:rsid w:val="00E35608"/>
    <w:rsid w:val="00E426D0"/>
    <w:rsid w:val="00E5046D"/>
    <w:rsid w:val="00E51EEC"/>
    <w:rsid w:val="00E548AA"/>
    <w:rsid w:val="00E55683"/>
    <w:rsid w:val="00E604CD"/>
    <w:rsid w:val="00E6669D"/>
    <w:rsid w:val="00E75FB8"/>
    <w:rsid w:val="00E76421"/>
    <w:rsid w:val="00E76611"/>
    <w:rsid w:val="00E925F8"/>
    <w:rsid w:val="00EA0360"/>
    <w:rsid w:val="00EB4A3D"/>
    <w:rsid w:val="00EB772C"/>
    <w:rsid w:val="00EC3D71"/>
    <w:rsid w:val="00EC5ADE"/>
    <w:rsid w:val="00ED1C25"/>
    <w:rsid w:val="00ED7F11"/>
    <w:rsid w:val="00EE38BA"/>
    <w:rsid w:val="00EE3927"/>
    <w:rsid w:val="00EE4ED8"/>
    <w:rsid w:val="00F06ACC"/>
    <w:rsid w:val="00F21244"/>
    <w:rsid w:val="00F2134C"/>
    <w:rsid w:val="00F239D7"/>
    <w:rsid w:val="00F261DA"/>
    <w:rsid w:val="00F30212"/>
    <w:rsid w:val="00F34C82"/>
    <w:rsid w:val="00F46C0D"/>
    <w:rsid w:val="00F619B3"/>
    <w:rsid w:val="00F61D62"/>
    <w:rsid w:val="00F64C36"/>
    <w:rsid w:val="00F66752"/>
    <w:rsid w:val="00F83475"/>
    <w:rsid w:val="00F84E59"/>
    <w:rsid w:val="00F862C2"/>
    <w:rsid w:val="00F92E85"/>
    <w:rsid w:val="00FA0F94"/>
    <w:rsid w:val="00FA77B4"/>
    <w:rsid w:val="00FA7EBE"/>
    <w:rsid w:val="00FB11E7"/>
    <w:rsid w:val="00FB1501"/>
    <w:rsid w:val="00FB6592"/>
    <w:rsid w:val="00FC0234"/>
    <w:rsid w:val="00FC4534"/>
    <w:rsid w:val="00FC6BF7"/>
    <w:rsid w:val="00FD6EA9"/>
    <w:rsid w:val="00FE29E0"/>
    <w:rsid w:val="00FF4389"/>
    <w:rsid w:val="00FF7DE6"/>
    <w:rsid w:val="0489375E"/>
    <w:rsid w:val="08D455D0"/>
    <w:rsid w:val="093011CD"/>
    <w:rsid w:val="0C056AFA"/>
    <w:rsid w:val="11170CD3"/>
    <w:rsid w:val="14A736A9"/>
    <w:rsid w:val="15EC0A8D"/>
    <w:rsid w:val="169A53F7"/>
    <w:rsid w:val="196D0008"/>
    <w:rsid w:val="1B804D9C"/>
    <w:rsid w:val="1D145524"/>
    <w:rsid w:val="1D685395"/>
    <w:rsid w:val="294E56D7"/>
    <w:rsid w:val="2A567125"/>
    <w:rsid w:val="2EB0168A"/>
    <w:rsid w:val="3A0E51AF"/>
    <w:rsid w:val="3BAD26DF"/>
    <w:rsid w:val="43804B80"/>
    <w:rsid w:val="451E4C34"/>
    <w:rsid w:val="46396545"/>
    <w:rsid w:val="48141C49"/>
    <w:rsid w:val="492348B6"/>
    <w:rsid w:val="51B51F19"/>
    <w:rsid w:val="51BB6738"/>
    <w:rsid w:val="51FF27A7"/>
    <w:rsid w:val="59E237C5"/>
    <w:rsid w:val="5CF654D8"/>
    <w:rsid w:val="5DDC11E0"/>
    <w:rsid w:val="5E6E6DEE"/>
    <w:rsid w:val="606040BA"/>
    <w:rsid w:val="64985380"/>
    <w:rsid w:val="66BE034C"/>
    <w:rsid w:val="6B0F70D8"/>
    <w:rsid w:val="6CB55788"/>
    <w:rsid w:val="76397182"/>
    <w:rsid w:val="7DA578DE"/>
    <w:rsid w:val="7E3C30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3"/>
    <w:qFormat/>
    <w:uiPriority w:val="99"/>
    <w:pPr>
      <w:keepNext/>
      <w:keepLines/>
      <w:spacing w:before="340" w:after="330" w:line="578" w:lineRule="auto"/>
      <w:outlineLvl w:val="0"/>
    </w:pPr>
    <w:rPr>
      <w:b/>
      <w:bCs/>
      <w:kern w:val="44"/>
      <w:sz w:val="44"/>
      <w:szCs w:val="44"/>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4"/>
    <w:qFormat/>
    <w:uiPriority w:val="99"/>
    <w:pPr>
      <w:tabs>
        <w:tab w:val="center" w:pos="4153"/>
        <w:tab w:val="right" w:pos="8306"/>
      </w:tabs>
      <w:snapToGrid w:val="0"/>
      <w:jc w:val="left"/>
    </w:pPr>
    <w:rPr>
      <w:rFonts w:asciiTheme="minorHAnsi" w:hAnsiTheme="minorHAnsi" w:eastAsiaTheme="minorEastAsia" w:cstheme="minorBidi"/>
      <w:sz w:val="18"/>
    </w:rPr>
  </w:style>
  <w:style w:type="paragraph" w:styleId="4">
    <w:name w:val="header"/>
    <w:basedOn w:val="1"/>
    <w:link w:val="15"/>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5">
    <w:name w:val="toc 1"/>
    <w:basedOn w:val="1"/>
    <w:next w:val="1"/>
    <w:qFormat/>
    <w:uiPriority w:val="0"/>
    <w:pPr>
      <w:tabs>
        <w:tab w:val="right" w:leader="dot" w:pos="8296"/>
      </w:tabs>
      <w:spacing w:line="360" w:lineRule="auto"/>
    </w:pPr>
    <w:rPr>
      <w:rFonts w:ascii="宋体" w:eastAsia="华文中宋"/>
      <w:b/>
      <w:sz w:val="24"/>
    </w:rPr>
  </w:style>
  <w:style w:type="paragraph" w:styleId="6">
    <w:name w:val="toc 2"/>
    <w:basedOn w:val="1"/>
    <w:next w:val="1"/>
    <w:qFormat/>
    <w:uiPriority w:val="0"/>
    <w:pPr>
      <w:ind w:left="200" w:leftChars="200"/>
    </w:pPr>
    <w:rPr>
      <w:rFonts w:eastAsia="华文中宋"/>
    </w:rPr>
  </w:style>
  <w:style w:type="paragraph" w:styleId="7">
    <w:name w:val="HTML Preformatted"/>
    <w:basedOn w:val="1"/>
    <w:link w:val="16"/>
    <w:qFormat/>
    <w:uiPriority w:val="0"/>
    <w:pPr>
      <w:pBdr>
        <w:top w:val="single" w:color="auto" w:sz="24" w:space="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8">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11">
    <w:name w:val="Hyperlink"/>
    <w:basedOn w:val="10"/>
    <w:qFormat/>
    <w:uiPriority w:val="0"/>
    <w:rPr>
      <w:color w:val="0000FF"/>
      <w:u w:val="single"/>
    </w:rPr>
  </w:style>
  <w:style w:type="paragraph" w:customStyle="1" w:styleId="12">
    <w:name w:val="Default"/>
    <w:qFormat/>
    <w:uiPriority w:val="0"/>
    <w:pPr>
      <w:widowControl w:val="0"/>
      <w:autoSpaceDE w:val="0"/>
      <w:autoSpaceDN w:val="0"/>
      <w:adjustRightInd w:val="0"/>
    </w:pPr>
    <w:rPr>
      <w:rFonts w:ascii="黑体" w:eastAsia="黑体" w:cs="黑体" w:hAnsiTheme="minorHAnsi"/>
      <w:color w:val="000000"/>
      <w:sz w:val="24"/>
      <w:szCs w:val="24"/>
      <w:lang w:val="en-US" w:eastAsia="zh-CN" w:bidi="ar-SA"/>
    </w:rPr>
  </w:style>
  <w:style w:type="character" w:customStyle="1" w:styleId="13">
    <w:name w:val="标题 1 Char"/>
    <w:basedOn w:val="10"/>
    <w:link w:val="2"/>
    <w:qFormat/>
    <w:uiPriority w:val="99"/>
    <w:rPr>
      <w:rFonts w:ascii="Times New Roman" w:hAnsi="Times New Roman" w:eastAsia="宋体" w:cs="Times New Roman"/>
      <w:b/>
      <w:bCs/>
      <w:kern w:val="44"/>
      <w:sz w:val="44"/>
      <w:szCs w:val="44"/>
    </w:rPr>
  </w:style>
  <w:style w:type="character" w:customStyle="1" w:styleId="14">
    <w:name w:val="页脚 Char"/>
    <w:basedOn w:val="10"/>
    <w:link w:val="3"/>
    <w:qFormat/>
    <w:uiPriority w:val="99"/>
    <w:rPr>
      <w:sz w:val="18"/>
      <w:szCs w:val="24"/>
    </w:rPr>
  </w:style>
  <w:style w:type="character" w:customStyle="1" w:styleId="15">
    <w:name w:val="页眉 Char"/>
    <w:basedOn w:val="10"/>
    <w:link w:val="4"/>
    <w:qFormat/>
    <w:uiPriority w:val="0"/>
    <w:rPr>
      <w:sz w:val="18"/>
      <w:szCs w:val="18"/>
    </w:rPr>
  </w:style>
  <w:style w:type="character" w:customStyle="1" w:styleId="16">
    <w:name w:val="HTML 预设格式 Char"/>
    <w:basedOn w:val="10"/>
    <w:link w:val="7"/>
    <w:qFormat/>
    <w:uiPriority w:val="0"/>
    <w:rPr>
      <w:rFonts w:ascii="宋体" w:hAnsi="宋体" w:eastAsia="宋体" w:cs="Times New Roman"/>
      <w:kern w:val="0"/>
      <w:sz w:val="24"/>
      <w:szCs w:val="24"/>
    </w:rPr>
  </w:style>
  <w:style w:type="paragraph" w:styleId="17">
    <w:name w:val="List Paragraph"/>
    <w:basedOn w:val="1"/>
    <w:qFormat/>
    <w:uiPriority w:val="34"/>
    <w:pPr>
      <w:ind w:firstLine="420" w:firstLineChars="200"/>
    </w:pPr>
    <w:rPr>
      <w:rFonts w:asciiTheme="minorHAnsi" w:hAnsiTheme="minorHAnsi" w:eastAsiaTheme="minorEastAsia" w:cstheme="minorBidi"/>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8.emf"/><Relationship Id="rId21" Type="http://schemas.openxmlformats.org/officeDocument/2006/relationships/oleObject" Target="embeddings/oleObject8.bin"/><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6.emf"/><Relationship Id="rId17" Type="http://schemas.openxmlformats.org/officeDocument/2006/relationships/oleObject" Target="embeddings/oleObject6.bin"/><Relationship Id="rId16" Type="http://schemas.openxmlformats.org/officeDocument/2006/relationships/image" Target="media/image5.emf"/><Relationship Id="rId15" Type="http://schemas.openxmlformats.org/officeDocument/2006/relationships/oleObject" Target="embeddings/oleObject5.bin"/><Relationship Id="rId14" Type="http://schemas.openxmlformats.org/officeDocument/2006/relationships/image" Target="media/image4.emf"/><Relationship Id="rId13" Type="http://schemas.openxmlformats.org/officeDocument/2006/relationships/oleObject" Target="embeddings/oleObject4.bin"/><Relationship Id="rId12" Type="http://schemas.openxmlformats.org/officeDocument/2006/relationships/image" Target="media/image3.emf"/><Relationship Id="rId11" Type="http://schemas.openxmlformats.org/officeDocument/2006/relationships/oleObject" Target="embeddings/oleObject3.bin"/><Relationship Id="rId10" Type="http://schemas.openxmlformats.org/officeDocument/2006/relationships/image" Target="media/image2.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D2ADCC-F2ED-4A79-9F3E-ECF6A1114ED7}">
  <ds:schemaRefs/>
</ds:datastoreItem>
</file>

<file path=docProps/app.xml><?xml version="1.0" encoding="utf-8"?>
<Properties xmlns="http://schemas.openxmlformats.org/officeDocument/2006/extended-properties" xmlns:vt="http://schemas.openxmlformats.org/officeDocument/2006/docPropsVTypes">
  <Template>Normal</Template>
  <Pages>48</Pages>
  <Words>15263</Words>
  <Characters>16391</Characters>
  <Lines>110</Lines>
  <Paragraphs>31</Paragraphs>
  <TotalTime>13</TotalTime>
  <ScaleCrop>false</ScaleCrop>
  <LinksUpToDate>false</LinksUpToDate>
  <CharactersWithSpaces>16880</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2020-09-08T09:43:00Z</dcterms:created>
  <dc:creator>永州市博物馆</dc:creator>
  <cp:lastModifiedBy>Administrator</cp:lastModifiedBy>
  <cp:lastPrinted>2021-05-11T02:00:00Z</cp:lastPrinted>
  <dcterms:modified xsi:type="dcterms:W3CDTF">2022-07-25T04:00:52Z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KSOSaveFontToCloudKey">
    <vt:lpwstr>0_embed</vt:lpwstr>
  </property>
  <property fmtid="{D5CDD505-2E9C-101B-9397-08002B2CF9AE}" pid="4" name="ICV">
    <vt:lpwstr>AF95D7DD189E47AEB5F6F9A52D63C772</vt:lpwstr>
  </property>
</Properties>
</file>