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w:t>
      </w:r>
      <w:r>
        <w:rPr>
          <w:rFonts w:hint="eastAsia"/>
          <w:sz w:val="84"/>
          <w:szCs w:val="84"/>
          <w:lang w:val="en-US" w:eastAsia="zh-CN"/>
        </w:rPr>
        <w:t>8</w:t>
      </w:r>
      <w:r>
        <w:rPr>
          <w:rFonts w:hint="eastAsia"/>
          <w:sz w:val="84"/>
          <w:szCs w:val="84"/>
        </w:rPr>
        <w:t>年度</w:t>
      </w:r>
    </w:p>
    <w:p>
      <w:pPr>
        <w:pStyle w:val="10"/>
        <w:jc w:val="center"/>
        <w:rPr>
          <w:sz w:val="84"/>
          <w:szCs w:val="84"/>
        </w:rPr>
      </w:pPr>
      <w:r>
        <w:rPr>
          <w:rFonts w:hint="eastAsia"/>
          <w:sz w:val="84"/>
          <w:szCs w:val="84"/>
          <w:lang w:val="en-US" w:eastAsia="zh-CN"/>
        </w:rPr>
        <w:t>永州市公安局金洞分局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both"/>
        <w:rPr>
          <w:sz w:val="56"/>
          <w:szCs w:val="56"/>
        </w:rPr>
      </w:pPr>
    </w:p>
    <w:p>
      <w:pPr>
        <w:pStyle w:val="10"/>
        <w:spacing w:line="540" w:lineRule="exact"/>
        <w:jc w:val="center"/>
        <w:rPr>
          <w:sz w:val="56"/>
          <w:szCs w:val="56"/>
        </w:rPr>
      </w:pPr>
    </w:p>
    <w:p>
      <w:pPr>
        <w:pStyle w:val="10"/>
        <w:spacing w:line="520" w:lineRule="exact"/>
        <w:jc w:val="center"/>
        <w:rPr>
          <w:rFonts w:hint="eastAsia"/>
          <w:sz w:val="56"/>
          <w:szCs w:val="56"/>
        </w:rPr>
      </w:pPr>
      <w:r>
        <w:rPr>
          <w:rFonts w:hint="eastAsia"/>
          <w:sz w:val="56"/>
          <w:szCs w:val="56"/>
        </w:rPr>
        <w:t>目录</w:t>
      </w:r>
    </w:p>
    <w:p>
      <w:pPr>
        <w:pStyle w:val="10"/>
        <w:spacing w:line="520" w:lineRule="exact"/>
        <w:jc w:val="both"/>
        <w:rPr>
          <w:rFonts w:hint="eastAsia"/>
          <w:sz w:val="56"/>
          <w:szCs w:val="56"/>
        </w:rPr>
      </w:pPr>
    </w:p>
    <w:p>
      <w:pPr>
        <w:pStyle w:val="10"/>
        <w:spacing w:line="520" w:lineRule="exact"/>
        <w:jc w:val="both"/>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永州市公安局金洞分局</w:t>
      </w:r>
      <w:r>
        <w:rPr>
          <w:rFonts w:hint="eastAsia"/>
          <w:b/>
          <w:sz w:val="28"/>
          <w:szCs w:val="28"/>
        </w:rPr>
        <w:t>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201</w:t>
      </w:r>
      <w:r>
        <w:rPr>
          <w:rFonts w:hint="eastAsia" w:hAnsi="仿宋_GB2312"/>
          <w:b/>
          <w:sz w:val="28"/>
          <w:szCs w:val="28"/>
          <w:lang w:val="en-US" w:eastAsia="zh-CN"/>
        </w:rPr>
        <w:t>8</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201</w:t>
      </w:r>
      <w:r>
        <w:rPr>
          <w:rFonts w:hint="eastAsia" w:hAnsi="仿宋_GB2312"/>
          <w:b/>
          <w:sz w:val="28"/>
          <w:szCs w:val="28"/>
          <w:lang w:val="en-US" w:eastAsia="zh-CN"/>
        </w:rPr>
        <w:t>8</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auto"/>
          <w:kern w:val="0"/>
          <w:sz w:val="28"/>
          <w:szCs w:val="28"/>
        </w:rPr>
        <w:t>九</w:t>
      </w:r>
      <w:r>
        <w:rPr>
          <w:rFonts w:ascii="仿宋_GB2312" w:hAnsi="仿宋_GB2312" w:cs="仿宋_GB2312"/>
          <w:b w:val="0"/>
          <w:bCs w:val="0"/>
          <w:color w:val="auto"/>
          <w:kern w:val="0"/>
          <w:sz w:val="28"/>
          <w:szCs w:val="28"/>
        </w:rPr>
        <w:t>、</w:t>
      </w:r>
      <w:r>
        <w:rPr>
          <w:rFonts w:hint="eastAsia" w:ascii="仿宋_GB2312" w:hAnsi="仿宋_GB2312" w:cs="仿宋_GB2312"/>
          <w:color w:val="000000"/>
          <w:kern w:val="0"/>
          <w:sz w:val="28"/>
          <w:szCs w:val="28"/>
          <w:lang w:eastAsia="zh-CN"/>
        </w:rPr>
        <w:t>重点项目预算的绩效目标等</w:t>
      </w:r>
      <w:r>
        <w:rPr>
          <w:rFonts w:hint="eastAsia" w:ascii="仿宋_GB2312" w:hAnsi="仿宋_GB2312" w:cs="仿宋_GB2312"/>
          <w:color w:val="000000"/>
          <w:kern w:val="0"/>
          <w:sz w:val="28"/>
          <w:szCs w:val="28"/>
        </w:rPr>
        <w:t>201</w:t>
      </w:r>
      <w:r>
        <w:rPr>
          <w:rFonts w:hint="eastAsia" w:ascii="仿宋_GB2312" w:hAnsi="仿宋_GB2312" w:cs="仿宋_GB2312"/>
          <w:color w:val="000000"/>
          <w:kern w:val="0"/>
          <w:sz w:val="28"/>
          <w:szCs w:val="28"/>
          <w:lang w:val="en-US" w:eastAsia="zh-CN"/>
        </w:rPr>
        <w:t>8</w:t>
      </w:r>
      <w:r>
        <w:rPr>
          <w:rFonts w:hint="eastAsia" w:ascii="仿宋_GB2312" w:hAnsi="仿宋_GB2312" w:cs="仿宋_GB2312"/>
          <w:color w:val="000000"/>
          <w:kern w:val="0"/>
          <w:sz w:val="28"/>
          <w:szCs w:val="28"/>
        </w:rPr>
        <w:t>年度预算绩效情况</w:t>
      </w:r>
      <w:r>
        <w:rPr>
          <w:rFonts w:hint="eastAsia" w:ascii="仿宋_GB2312" w:hAnsi="仿宋_GB2312" w:cs="仿宋_GB2312"/>
          <w:color w:val="000000"/>
          <w:kern w:val="0"/>
          <w:sz w:val="28"/>
          <w:szCs w:val="28"/>
          <w:lang w:eastAsia="zh-CN"/>
        </w:rPr>
        <w:t>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ind w:firstLine="281" w:firstLineChars="100"/>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spacing w:line="520" w:lineRule="exact"/>
        <w:ind w:firstLine="281" w:firstLineChars="100"/>
        <w:jc w:val="left"/>
        <w:rPr>
          <w:rFonts w:hint="eastAsia" w:ascii="黑体" w:hAnsi="黑体" w:eastAsia="黑体" w:cs="黑体"/>
          <w:b/>
          <w:color w:val="auto"/>
          <w:kern w:val="0"/>
          <w:sz w:val="28"/>
          <w:szCs w:val="28"/>
          <w:lang w:val="en-US" w:eastAsia="zh-CN"/>
        </w:rPr>
      </w:pPr>
      <w:r>
        <w:rPr>
          <w:rFonts w:ascii="黑体" w:hAnsi="黑体" w:eastAsia="黑体" w:cs="黑体"/>
          <w:b/>
          <w:color w:val="auto"/>
          <w:kern w:val="0"/>
          <w:sz w:val="28"/>
          <w:szCs w:val="28"/>
        </w:rPr>
        <w:t>第五部分</w:t>
      </w:r>
      <w:r>
        <w:rPr>
          <w:rFonts w:hint="eastAsia" w:ascii="黑体" w:hAnsi="黑体" w:eastAsia="黑体" w:cs="黑体"/>
          <w:b/>
          <w:color w:val="auto"/>
          <w:kern w:val="0"/>
          <w:sz w:val="28"/>
          <w:szCs w:val="28"/>
          <w:lang w:val="en-US" w:eastAsia="zh-CN"/>
        </w:rPr>
        <w:t xml:space="preserve">  2018年度部门整体支出绩效评价报告</w:t>
      </w:r>
    </w:p>
    <w:p>
      <w:pPr>
        <w:keepNext w:val="0"/>
        <w:keepLines w:val="0"/>
        <w:pageBreakBefore w:val="0"/>
        <w:kinsoku/>
        <w:wordWrap/>
        <w:overflowPunct/>
        <w:topLinePunct w:val="0"/>
        <w:autoSpaceDE/>
        <w:autoSpaceDN/>
        <w:bidi w:val="0"/>
        <w:adjustRightInd/>
        <w:snapToGrid/>
        <w:spacing w:line="700" w:lineRule="exact"/>
        <w:ind w:left="0" w:leftChars="0" w:right="0" w:rightChars="0" w:firstLine="281" w:firstLineChars="100"/>
        <w:jc w:val="left"/>
        <w:textAlignment w:val="auto"/>
        <w:outlineLvl w:val="9"/>
        <w:rPr>
          <w:rFonts w:hint="eastAsia" w:ascii="黑体" w:hAnsi="黑体" w:eastAsia="黑体" w:cs="黑体"/>
          <w:b/>
          <w:color w:val="auto"/>
          <w:kern w:val="0"/>
          <w:sz w:val="28"/>
          <w:szCs w:val="28"/>
          <w:lang w:val="en-US" w:eastAsia="zh-CN"/>
        </w:rPr>
      </w:pPr>
      <w:r>
        <w:rPr>
          <w:rFonts w:ascii="黑体" w:hAnsi="黑体" w:eastAsia="黑体" w:cs="黑体"/>
          <w:b/>
          <w:color w:val="auto"/>
          <w:kern w:val="0"/>
          <w:sz w:val="28"/>
          <w:szCs w:val="28"/>
        </w:rPr>
        <w:t>第</w:t>
      </w:r>
      <w:r>
        <w:rPr>
          <w:rFonts w:hint="eastAsia" w:ascii="黑体" w:hAnsi="黑体" w:eastAsia="黑体" w:cs="黑体"/>
          <w:b/>
          <w:color w:val="auto"/>
          <w:kern w:val="0"/>
          <w:sz w:val="28"/>
          <w:szCs w:val="28"/>
          <w:lang w:eastAsia="zh-CN"/>
        </w:rPr>
        <w:t>六</w:t>
      </w:r>
      <w:r>
        <w:rPr>
          <w:rFonts w:ascii="黑体" w:hAnsi="黑体" w:eastAsia="黑体" w:cs="黑体"/>
          <w:b/>
          <w:color w:val="auto"/>
          <w:kern w:val="0"/>
          <w:sz w:val="28"/>
          <w:szCs w:val="28"/>
        </w:rPr>
        <w:t>部分</w:t>
      </w:r>
      <w:r>
        <w:rPr>
          <w:rFonts w:hint="eastAsia" w:ascii="黑体" w:hAnsi="黑体" w:eastAsia="黑体" w:cs="黑体"/>
          <w:b/>
          <w:color w:val="auto"/>
          <w:kern w:val="0"/>
          <w:sz w:val="28"/>
          <w:szCs w:val="28"/>
          <w:lang w:val="en-US" w:eastAsia="zh-CN"/>
        </w:rPr>
        <w:t xml:space="preserve">  2018年度部门项目支出绩效评价报告</w:t>
      </w:r>
    </w:p>
    <w:p>
      <w:pPr>
        <w:keepNext w:val="0"/>
        <w:keepLines w:val="0"/>
        <w:pageBreakBefore w:val="0"/>
        <w:widowControl/>
        <w:kinsoku/>
        <w:wordWrap/>
        <w:overflowPunct/>
        <w:topLinePunct w:val="0"/>
        <w:autoSpaceDE/>
        <w:autoSpaceDN/>
        <w:bidi w:val="0"/>
        <w:adjustRightInd/>
        <w:snapToGrid/>
        <w:spacing w:line="700" w:lineRule="exact"/>
        <w:ind w:left="0" w:leftChars="0" w:right="0" w:rightChars="0"/>
        <w:textAlignment w:val="auto"/>
        <w:outlineLvl w:val="9"/>
        <w:rPr>
          <w:rFonts w:hint="eastAsia" w:asciiTheme="minorEastAsia" w:hAnsiTheme="minorEastAsia"/>
          <w:bCs/>
          <w:color w:val="auto"/>
          <w:kern w:val="0"/>
          <w:sz w:val="32"/>
          <w:szCs w:val="32"/>
          <w:lang w:val="en-US" w:eastAsia="zh-CN"/>
        </w:rPr>
      </w:pPr>
      <w:r>
        <w:rPr>
          <w:rFonts w:hint="eastAsia" w:ascii="黑体" w:hAnsi="黑体" w:eastAsia="黑体" w:cs="黑体"/>
          <w:b/>
          <w:color w:val="auto"/>
          <w:kern w:val="0"/>
          <w:sz w:val="28"/>
          <w:szCs w:val="28"/>
          <w:lang w:val="en-US" w:eastAsia="zh-CN"/>
        </w:rPr>
        <w:t xml:space="preserve"> </w:t>
      </w:r>
      <w:r>
        <w:rPr>
          <w:rFonts w:hint="eastAsia" w:asciiTheme="minorEastAsia" w:hAnsiTheme="minorEastAsia"/>
          <w:bCs/>
          <w:color w:val="auto"/>
          <w:kern w:val="0"/>
          <w:sz w:val="32"/>
          <w:szCs w:val="32"/>
          <w:lang w:val="en-US" w:eastAsia="zh-CN"/>
        </w:rPr>
        <w:t xml:space="preserve">   1、2018年度中央和省级政法转移支付专项资金项目支出绩效评价报告</w:t>
      </w:r>
    </w:p>
    <w:p>
      <w:pPr>
        <w:spacing w:line="520" w:lineRule="exact"/>
        <w:jc w:val="left"/>
        <w:rPr>
          <w:rFonts w:ascii="黑体" w:hAnsi="黑体" w:eastAsia="黑体" w:cs="黑体"/>
          <w:b/>
          <w:color w:val="00B0F0"/>
          <w:kern w:val="0"/>
          <w:sz w:val="28"/>
          <w:szCs w:val="28"/>
          <w:lang w:val="en-US"/>
        </w:rPr>
      </w:pPr>
    </w:p>
    <w:p>
      <w:pPr>
        <w:jc w:val="center"/>
        <w:rPr>
          <w:color w:val="00B0F0"/>
          <w:sz w:val="72"/>
          <w:szCs w:val="72"/>
        </w:rPr>
      </w:pPr>
    </w:p>
    <w:p>
      <w:pPr>
        <w:jc w:val="center"/>
        <w:rPr>
          <w:color w:val="00B0F0"/>
          <w:sz w:val="72"/>
          <w:szCs w:val="72"/>
        </w:rPr>
      </w:pPr>
    </w:p>
    <w:p>
      <w:pPr>
        <w:jc w:val="center"/>
        <w:rPr>
          <w:color w:val="00B0F0"/>
          <w:sz w:val="72"/>
          <w:szCs w:val="72"/>
        </w:rPr>
      </w:pPr>
    </w:p>
    <w:p>
      <w:pPr>
        <w:jc w:val="center"/>
        <w:rPr>
          <w:color w:val="00B0F0"/>
          <w:sz w:val="72"/>
          <w:szCs w:val="72"/>
        </w:rPr>
      </w:pPr>
    </w:p>
    <w:p>
      <w:pPr>
        <w:rPr>
          <w:color w:val="00B0F0"/>
          <w:sz w:val="72"/>
          <w:szCs w:val="72"/>
        </w:rPr>
      </w:pPr>
    </w:p>
    <w:p>
      <w:pPr>
        <w:pStyle w:val="10"/>
        <w:jc w:val="center"/>
        <w:rPr>
          <w:rFonts w:hint="eastAsia"/>
          <w:color w:val="00B0F0"/>
          <w:sz w:val="84"/>
          <w:szCs w:val="84"/>
        </w:rPr>
      </w:pPr>
    </w:p>
    <w:p>
      <w:pPr>
        <w:pStyle w:val="10"/>
        <w:jc w:val="center"/>
        <w:rPr>
          <w:rFonts w:hint="eastAsia"/>
          <w:color w:val="00B0F0"/>
          <w:sz w:val="84"/>
          <w:szCs w:val="84"/>
        </w:rPr>
      </w:pPr>
    </w:p>
    <w:p>
      <w:pPr>
        <w:pStyle w:val="10"/>
        <w:jc w:val="center"/>
        <w:rPr>
          <w:rFonts w:hint="eastAsia"/>
          <w:color w:val="00B0F0"/>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永州市公安局金洞分局</w:t>
      </w:r>
      <w:r>
        <w:rPr>
          <w:rFonts w:hint="eastAsia"/>
          <w:sz w:val="84"/>
          <w:szCs w:val="84"/>
        </w:rPr>
        <w:t>概况</w:t>
      </w:r>
    </w:p>
    <w:p>
      <w:pPr>
        <w:jc w:val="center"/>
        <w:rPr>
          <w:sz w:val="72"/>
          <w:szCs w:val="72"/>
        </w:rPr>
      </w:pPr>
    </w:p>
    <w:p>
      <w:pPr>
        <w:jc w:val="center"/>
        <w:rPr>
          <w:sz w:val="72"/>
          <w:szCs w:val="72"/>
        </w:rPr>
      </w:pPr>
    </w:p>
    <w:p>
      <w:pPr>
        <w:pStyle w:val="11"/>
        <w:numPr>
          <w:ilvl w:val="0"/>
          <w:numId w:val="0"/>
        </w:numPr>
        <w:ind w:left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依据《中华人民共和国宪法》、《人民警察法》、《刑法》、《治安管理处罚法》等法律法规，维护国家安全，维护社会治安，保护公民的人身安全、人身自由和合法财产，保护公共财产，预防、制止、惩罚违法犯罪，管理社会秩序，掌握、分析、研究敌情和社会治安状况，维护社会稳定，保障人民群众的安居乐业和社会主义现代化建设事业的顺利进行。</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bCs/>
          <w:kern w:val="0"/>
          <w:sz w:val="32"/>
          <w:szCs w:val="32"/>
        </w:rPr>
        <w:t>（一）</w:t>
      </w:r>
      <w:r>
        <w:rPr>
          <w:rFonts w:hint="default" w:ascii="Times New Roman" w:hAnsi="Times New Roman" w:eastAsia="微软雅黑" w:cs="Times New Roman"/>
          <w:i w:val="0"/>
          <w:iCs w:val="0"/>
          <w:caps w:val="0"/>
          <w:color w:val="333333"/>
          <w:spacing w:val="0"/>
          <w:kern w:val="0"/>
          <w:sz w:val="30"/>
          <w:szCs w:val="30"/>
          <w:shd w:val="clear" w:fill="FFFFFF"/>
          <w:lang w:val="en-US" w:eastAsia="zh-CN" w:bidi="ar"/>
        </w:rPr>
        <w:t>内设机构设置。</w:t>
      </w:r>
      <w:r>
        <w:rPr>
          <w:rFonts w:hint="default" w:asciiTheme="minorEastAsia" w:hAnsiTheme="minorEastAsia" w:eastAsiaTheme="minorEastAsia"/>
          <w:sz w:val="32"/>
          <w:szCs w:val="32"/>
          <w:lang w:val="en-US" w:eastAsia="zh-CN"/>
        </w:rPr>
        <w:t>金洞公安分局为正科级单位，是永州市公安局直属分局，部门机构设置和人员、车辆编制根据省编办、省公安厅《关于设立永州市公安局金洞分局的通知》（湘编办[2010]88号）和市编办《永州市公安局金洞分局主要职责、内设机构和人员编制规定》文件精神，结合分局实际，编制核定如下：内设机构7个，包括指挥中心，刑侦大队，治安大队，森保大队，人口大队，法制网监室，政工纪检室；派出所七个（两个未运行），包括金洞派出所，小金洞派出所，晒北滩派出所，石鼓源派出所（石鼓源派出所和上司源派出所合属办公），凤凰派出所（白果市派出所与凤凰派出所合属办公）。2018年12月工资发放人员56人，退休人员9人，合计65人，另有临聘人员24人（其中协警18人）。车辆编制10台，实有车辆10台。</w:t>
      </w:r>
    </w:p>
    <w:p>
      <w:pPr>
        <w:pStyle w:val="10"/>
        <w:ind w:firstLine="640" w:firstLineChars="200"/>
        <w:rPr>
          <w:rFonts w:hint="eastAsia" w:asciiTheme="minorEastAsia" w:hAnsiTheme="minorEastAsia" w:eastAsiaTheme="minorEastAsia"/>
          <w:bCs/>
          <w:kern w:val="0"/>
          <w:sz w:val="32"/>
          <w:szCs w:val="32"/>
          <w:lang w:eastAsia="zh-CN"/>
        </w:rPr>
      </w:pPr>
      <w:r>
        <w:rPr>
          <w:rFonts w:hint="default" w:asciiTheme="minorEastAsia" w:hAnsiTheme="minorEastAsia" w:eastAsiaTheme="minorEastAsia"/>
          <w:sz w:val="32"/>
          <w:szCs w:val="32"/>
          <w:lang w:val="en-US" w:eastAsia="zh-CN"/>
        </w:rPr>
        <w:t> </w:t>
      </w: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永州市公安局金洞分局</w:t>
      </w:r>
      <w:r>
        <w:rPr>
          <w:rFonts w:asciiTheme="minorEastAsia" w:hAnsiTheme="minorEastAsia"/>
          <w:bCs/>
          <w:kern w:val="0"/>
          <w:sz w:val="32"/>
          <w:szCs w:val="32"/>
        </w:rPr>
        <w:t>201</w:t>
      </w:r>
      <w:r>
        <w:rPr>
          <w:rFonts w:hint="eastAsia" w:asciiTheme="minorEastAsia" w:hAnsiTheme="minorEastAsia"/>
          <w:bCs/>
          <w:kern w:val="0"/>
          <w:sz w:val="32"/>
          <w:szCs w:val="32"/>
          <w:lang w:val="en-US" w:eastAsia="zh-CN"/>
        </w:rPr>
        <w:t>8</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永州市公安局金洞分局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both"/>
        <w:rPr>
          <w:sz w:val="72"/>
          <w:szCs w:val="72"/>
        </w:rPr>
      </w:pPr>
    </w:p>
    <w:p>
      <w:pPr>
        <w:jc w:val="both"/>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drawing>
          <wp:inline distT="0" distB="0" distL="114300" distR="114300">
            <wp:extent cx="8858250" cy="58248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8858250" cy="5824855"/>
                    </a:xfrm>
                    <a:prstGeom prst="rect">
                      <a:avLst/>
                    </a:prstGeom>
                    <a:noFill/>
                    <a:ln>
                      <a:noFill/>
                    </a:ln>
                  </pic:spPr>
                </pic:pic>
              </a:graphicData>
            </a:graphic>
          </wp:inline>
        </w:drawing>
      </w:r>
    </w:p>
    <w:p>
      <w:pPr>
        <w:widowControl/>
        <w:jc w:val="left"/>
        <w:rPr>
          <w:rFonts w:ascii="Times New Roman" w:hAnsi="Times New Roman" w:eastAsia="黑体" w:cs="Times New Roman"/>
          <w:bCs/>
          <w:kern w:val="0"/>
          <w:sz w:val="32"/>
          <w:szCs w:val="32"/>
        </w:rPr>
      </w:pPr>
      <w:r>
        <w:drawing>
          <wp:inline distT="0" distB="0" distL="114300" distR="114300">
            <wp:extent cx="9775190" cy="4008120"/>
            <wp:effectExtent l="0" t="0" r="1651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9775190" cy="4008120"/>
                    </a:xfrm>
                    <a:prstGeom prst="rect">
                      <a:avLst/>
                    </a:prstGeom>
                    <a:noFill/>
                    <a:ln>
                      <a:noFill/>
                    </a:ln>
                  </pic:spPr>
                </pic:pic>
              </a:graphicData>
            </a:graphic>
          </wp:inline>
        </w:drawing>
      </w:r>
      <w:r>
        <w:rPr>
          <w:rFonts w:ascii="Times New Roman" w:hAnsi="Times New Roman" w:eastAsia="黑体" w:cs="Times New Roman"/>
          <w:bCs/>
          <w:kern w:val="0"/>
          <w:sz w:val="32"/>
          <w:szCs w:val="32"/>
        </w:rPr>
        <w:br w:type="page"/>
      </w:r>
    </w:p>
    <w:p>
      <w:pPr>
        <w:widowControl/>
        <w:ind w:left="93"/>
        <w:jc w:val="center"/>
        <w:rPr>
          <w:rFonts w:ascii="Times New Roman" w:hAnsi="Times New Roman" w:eastAsia="方正小标宋_GBK" w:cs="Times New Roman"/>
          <w:color w:val="000000"/>
          <w:kern w:val="0"/>
          <w:sz w:val="36"/>
          <w:szCs w:val="21"/>
        </w:rPr>
      </w:pPr>
      <w:r>
        <w:drawing>
          <wp:inline distT="0" distB="0" distL="114300" distR="114300">
            <wp:extent cx="9775825" cy="4124960"/>
            <wp:effectExtent l="0" t="0" r="1587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9775825" cy="4124960"/>
                    </a:xfrm>
                    <a:prstGeom prst="rect">
                      <a:avLst/>
                    </a:prstGeom>
                    <a:noFill/>
                    <a:ln>
                      <a:noFill/>
                    </a:ln>
                  </pic:spPr>
                </pic:pic>
              </a:graphicData>
            </a:graphic>
          </wp:inline>
        </w:drawing>
      </w: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r>
        <w:drawing>
          <wp:inline distT="0" distB="0" distL="114300" distR="114300">
            <wp:extent cx="8915400" cy="664083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8915400" cy="6640830"/>
                    </a:xfrm>
                    <a:prstGeom prst="rect">
                      <a:avLst/>
                    </a:prstGeom>
                    <a:noFill/>
                    <a:ln>
                      <a:noFill/>
                    </a:ln>
                  </pic:spPr>
                </pic:pic>
              </a:graphicData>
            </a:graphic>
          </wp:inline>
        </w:drawing>
      </w:r>
    </w:p>
    <w:p>
      <w:pPr>
        <w:widowControl/>
        <w:ind w:left="93"/>
        <w:jc w:val="center"/>
        <w:rPr>
          <w:rFonts w:ascii="Times New Roman" w:hAnsi="Times New Roman" w:eastAsia="方正小标宋_GBK" w:cs="Times New Roman"/>
          <w:color w:val="000000"/>
          <w:kern w:val="0"/>
          <w:sz w:val="36"/>
          <w:szCs w:val="21"/>
        </w:rPr>
      </w:pPr>
      <w:r>
        <w:drawing>
          <wp:inline distT="0" distB="0" distL="114300" distR="114300">
            <wp:extent cx="8496300" cy="42386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8496300" cy="4238625"/>
                    </a:xfrm>
                    <a:prstGeom prst="rect">
                      <a:avLst/>
                    </a:prstGeom>
                    <a:noFill/>
                    <a:ln>
                      <a:noFill/>
                    </a:ln>
                  </pic:spPr>
                </pic:pic>
              </a:graphicData>
            </a:graphic>
          </wp:inline>
        </w:drawing>
      </w: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left"/>
        <w:rPr>
          <w:rFonts w:ascii="黑体" w:hAnsi="黑体" w:eastAsia="黑体"/>
          <w:szCs w:val="21"/>
        </w:rPr>
      </w:pPr>
      <w:r>
        <w:rPr>
          <w:rFonts w:ascii="黑体" w:hAnsi="黑体" w:eastAsia="黑体"/>
          <w:szCs w:val="21"/>
        </w:rPr>
        <w:br w:type="page"/>
      </w:r>
    </w:p>
    <w:p>
      <w:pPr>
        <w:widowControl/>
        <w:jc w:val="center"/>
        <w:rPr>
          <w:rFonts w:hint="eastAsia" w:ascii="Times New Roman" w:hAnsi="Times New Roman" w:eastAsia="方正小标宋_GBK" w:cs="Times New Roman"/>
          <w:color w:val="000000"/>
          <w:kern w:val="0"/>
          <w:sz w:val="36"/>
          <w:szCs w:val="36"/>
        </w:rPr>
      </w:pPr>
      <w:r>
        <w:drawing>
          <wp:inline distT="0" distB="0" distL="114300" distR="114300">
            <wp:extent cx="9767570" cy="5724525"/>
            <wp:effectExtent l="0" t="0" r="508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9767570" cy="5724525"/>
                    </a:xfrm>
                    <a:prstGeom prst="rect">
                      <a:avLst/>
                    </a:prstGeom>
                    <a:noFill/>
                    <a:ln>
                      <a:noFill/>
                    </a:ln>
                  </pic:spPr>
                </pic:pic>
              </a:graphicData>
            </a:graphic>
          </wp:inline>
        </w:drawing>
      </w: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autoSpaceDE w:val="0"/>
        <w:autoSpaceDN w:val="0"/>
        <w:adjustRightInd w:val="0"/>
        <w:ind w:left="315" w:leftChars="150"/>
        <w:jc w:val="left"/>
        <w:rPr>
          <w:rFonts w:ascii="宋体" w:eastAsia="宋体" w:cs="宋体"/>
          <w:kern w:val="0"/>
          <w:sz w:val="24"/>
          <w:szCs w:val="24"/>
        </w:rPr>
      </w:pPr>
      <w:r>
        <w:drawing>
          <wp:inline distT="0" distB="0" distL="114300" distR="114300">
            <wp:extent cx="9775190" cy="2033905"/>
            <wp:effectExtent l="0" t="0" r="1651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9775190" cy="2033905"/>
                    </a:xfrm>
                    <a:prstGeom prst="rect">
                      <a:avLst/>
                    </a:prstGeom>
                    <a:noFill/>
                    <a:ln>
                      <a:noFill/>
                    </a:ln>
                  </pic:spPr>
                </pic:pic>
              </a:graphicData>
            </a:graphic>
          </wp:inline>
        </w:drawing>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永州市公安局金洞分局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1" w:firstLineChars="200"/>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w:t>
      </w:r>
      <w:r>
        <w:rPr>
          <w:rFonts w:hint="eastAsia" w:ascii="Times New Roman" w:hAnsi="Times New Roman" w:eastAsia="仿宋_GB2312" w:cs="Times New Roman"/>
          <w:b/>
          <w:bCs/>
          <w:kern w:val="0"/>
          <w:szCs w:val="21"/>
        </w:rPr>
        <w:t>说明：</w:t>
      </w:r>
      <w:r>
        <w:rPr>
          <w:rFonts w:hint="eastAsia" w:ascii="Times New Roman" w:hAnsi="Times New Roman" w:eastAsia="仿宋_GB2312" w:cs="Times New Roman"/>
          <w:b/>
          <w:bCs/>
          <w:color w:val="000000"/>
          <w:kern w:val="0"/>
          <w:szCs w:val="21"/>
          <w:lang w:eastAsia="zh-CN"/>
        </w:rPr>
        <w:t>永州市公安局金洞分局</w:t>
      </w:r>
      <w:r>
        <w:rPr>
          <w:rFonts w:hint="eastAsia" w:ascii="Times New Roman" w:hAnsi="Times New Roman" w:eastAsia="仿宋_GB2312" w:cs="Times New Roman"/>
          <w:b/>
          <w:bCs/>
          <w:kern w:val="0"/>
          <w:szCs w:val="21"/>
        </w:rPr>
        <w:t>没有政府性基金收入，也没有使用政府性基金安排的支出，故本表无数据</w:t>
      </w:r>
      <w:r>
        <w:rPr>
          <w:rFonts w:ascii="Times New Roman" w:hAnsi="Times New Roman" w:eastAsia="仿宋_GB2312" w:cs="Times New Roman"/>
          <w:b/>
          <w:bCs/>
          <w:kern w:val="0"/>
          <w:szCs w:val="21"/>
        </w:rPr>
        <w:t>)。</w:t>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w:t>
      </w:r>
      <w:r>
        <w:rPr>
          <w:rFonts w:hint="eastAsia"/>
          <w:sz w:val="70"/>
          <w:szCs w:val="70"/>
          <w:lang w:val="en-US" w:eastAsia="zh-CN"/>
        </w:rPr>
        <w:t>8</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rPr>
      </w:pPr>
      <w:r>
        <w:rPr>
          <w:rFonts w:hint="default" w:asciiTheme="minorEastAsia" w:hAnsiTheme="minorEastAsia" w:eastAsiaTheme="minorEastAsia"/>
          <w:sz w:val="32"/>
          <w:szCs w:val="32"/>
          <w:lang w:val="en-US" w:eastAsia="zh-CN"/>
        </w:rPr>
        <w:t>2018</w:t>
      </w:r>
      <w:r>
        <w:rPr>
          <w:rFonts w:hint="eastAsia" w:asciiTheme="minorEastAsia" w:hAnsiTheme="minorEastAsia" w:eastAsiaTheme="minorEastAsia"/>
          <w:sz w:val="32"/>
          <w:szCs w:val="32"/>
          <w:lang w:val="en-US" w:eastAsia="zh-CN"/>
        </w:rPr>
        <w:t>年决算总收入为</w:t>
      </w:r>
      <w:r>
        <w:rPr>
          <w:rFonts w:hint="default" w:asciiTheme="minorEastAsia" w:hAnsiTheme="minorEastAsia" w:eastAsiaTheme="minorEastAsia"/>
          <w:sz w:val="32"/>
          <w:szCs w:val="32"/>
          <w:lang w:val="en-US" w:eastAsia="zh-CN"/>
        </w:rPr>
        <w:t>1445.74万元，2017年决算总收入为1309.96万元，2018年比2017年增加10.37%，增长的主要原因是市直单位工资标准的提高和公用经费保障标准的提高。</w:t>
      </w:r>
    </w:p>
    <w:p>
      <w:pPr>
        <w:pStyle w:val="10"/>
        <w:ind w:firstLine="640" w:firstLineChars="200"/>
        <w:rPr>
          <w:rFonts w:hint="eastAsia" w:asciiTheme="minorEastAsia" w:hAnsiTheme="minorEastAsia" w:eastAsiaTheme="minorEastAsia"/>
          <w:sz w:val="32"/>
          <w:szCs w:val="32"/>
        </w:rPr>
      </w:pPr>
      <w:r>
        <w:rPr>
          <w:rFonts w:hint="default" w:asciiTheme="minorEastAsia" w:hAnsiTheme="minorEastAsia" w:eastAsiaTheme="minorEastAsia"/>
          <w:sz w:val="32"/>
          <w:szCs w:val="32"/>
          <w:lang w:val="en-US" w:eastAsia="zh-CN"/>
        </w:rPr>
        <w:t>2018年决算总支出为1778.49万元，2017年决算总支出为1603.33万元，2018年比2017年增加10.92%，增长的主要原因是市直单位工资标准的提高、公用经费保障标准的提高以及专项行动办案经费增加。</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default" w:asciiTheme="minorEastAsia" w:hAnsiTheme="minorEastAsia" w:eastAsiaTheme="minorEastAsia"/>
          <w:sz w:val="32"/>
          <w:szCs w:val="32"/>
          <w:lang w:val="en-US" w:eastAsia="zh-CN"/>
        </w:rPr>
        <w:t>2018年决算总收入1445.74万元，其中：市财政预算拨款收入1235.01万元，</w:t>
      </w:r>
      <w:r>
        <w:rPr>
          <w:rFonts w:hint="eastAsia" w:asciiTheme="minorEastAsia" w:hAnsiTheme="minorEastAsia" w:eastAsiaTheme="minorEastAsia"/>
          <w:sz w:val="32"/>
          <w:szCs w:val="32"/>
          <w:lang w:val="en-US" w:eastAsia="zh-CN"/>
        </w:rPr>
        <w:t>占85.42%；</w:t>
      </w:r>
      <w:r>
        <w:rPr>
          <w:rFonts w:hint="default" w:asciiTheme="minorEastAsia" w:hAnsiTheme="minorEastAsia" w:eastAsiaTheme="minorEastAsia"/>
          <w:sz w:val="32"/>
          <w:szCs w:val="32"/>
          <w:lang w:val="en-US" w:eastAsia="zh-CN"/>
        </w:rPr>
        <w:t>其他收入210.73万元</w:t>
      </w:r>
      <w:r>
        <w:rPr>
          <w:rFonts w:hint="eastAsia" w:asciiTheme="minorEastAsia" w:hAnsiTheme="minorEastAsia" w:eastAsiaTheme="minorEastAsia"/>
          <w:sz w:val="32"/>
          <w:szCs w:val="32"/>
          <w:lang w:val="en-US" w:eastAsia="zh-CN"/>
        </w:rPr>
        <w:t>，占14.58%</w:t>
      </w:r>
      <w:r>
        <w:rPr>
          <w:rFonts w:hint="default" w:asciiTheme="minorEastAsia" w:hAnsiTheme="minorEastAsia" w:eastAsiaTheme="minorEastAsia"/>
          <w:sz w:val="32"/>
          <w:szCs w:val="32"/>
          <w:lang w:val="en-US" w:eastAsia="zh-CN"/>
        </w:rPr>
        <w:t>。与2018年市财政年初预算拨款1062.2万元相比增加172.81万元。决算收入市财政拨款比年初预算收入增加原因，主要是增加了预算拨款项目，如市公安局转移支付资金、绩效考核奖励及调标工资等。决算收入中其他收入主要为银行存款利息以及区财政拨付款。</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default" w:asciiTheme="minorEastAsia" w:hAnsiTheme="minorEastAsia" w:eastAsiaTheme="minorEastAsia"/>
          <w:sz w:val="32"/>
          <w:szCs w:val="32"/>
        </w:rPr>
        <w:t>2018</w:t>
      </w:r>
      <w:r>
        <w:rPr>
          <w:rFonts w:hint="eastAsia" w:asciiTheme="minorEastAsia" w:hAnsiTheme="minorEastAsia" w:eastAsiaTheme="minorEastAsia"/>
          <w:sz w:val="32"/>
          <w:szCs w:val="32"/>
        </w:rPr>
        <w:t>年决算总支出为</w:t>
      </w:r>
      <w:r>
        <w:rPr>
          <w:rFonts w:hint="default" w:asciiTheme="minorEastAsia" w:hAnsiTheme="minorEastAsia" w:eastAsiaTheme="minorEastAsia"/>
          <w:sz w:val="32"/>
          <w:szCs w:val="32"/>
        </w:rPr>
        <w:t>1778.49万元，</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1220.65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68.63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557.84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31.37</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lang w:val="en-US" w:eastAsia="zh-CN"/>
        </w:rPr>
        <w:t>。</w:t>
      </w:r>
      <w:r>
        <w:rPr>
          <w:rFonts w:hint="default" w:asciiTheme="minorEastAsia" w:hAnsiTheme="minorEastAsia" w:eastAsiaTheme="minorEastAsia"/>
          <w:sz w:val="32"/>
          <w:szCs w:val="32"/>
        </w:rPr>
        <w:t>2017年决算总支出为1603.33万元，2018年比2017年增加10.92%，增长的主要原因是市直单位工资标准的提高、公用经费保障标准的提高以及专项行动办案经费增加。</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default" w:asciiTheme="minorEastAsia" w:hAnsiTheme="minorEastAsia" w:eastAsiaTheme="minorEastAsia"/>
          <w:sz w:val="32"/>
          <w:szCs w:val="32"/>
        </w:rPr>
      </w:pPr>
      <w:r>
        <w:rPr>
          <w:rFonts w:hint="default" w:asciiTheme="minorEastAsia" w:hAnsiTheme="minorEastAsia" w:eastAsiaTheme="minorEastAsia"/>
          <w:sz w:val="32"/>
          <w:szCs w:val="32"/>
        </w:rPr>
        <w:t>2018</w:t>
      </w:r>
      <w:r>
        <w:rPr>
          <w:rFonts w:hint="eastAsia" w:asciiTheme="minorEastAsia" w:hAnsiTheme="minorEastAsia" w:eastAsiaTheme="minorEastAsia"/>
          <w:sz w:val="32"/>
          <w:szCs w:val="32"/>
        </w:rPr>
        <w:t>年度财政拨款总收入</w:t>
      </w:r>
      <w:r>
        <w:rPr>
          <w:rFonts w:hint="default" w:asciiTheme="minorEastAsia" w:hAnsiTheme="minorEastAsia" w:eastAsiaTheme="minorEastAsia"/>
          <w:sz w:val="32"/>
          <w:szCs w:val="32"/>
        </w:rPr>
        <w:t>1445.74万元，其中一般公共预算财政拨款1445.74万元（市财政预算拨款收入1235.01万元，其他收入210.73万元）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与201</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年财政拨款</w:t>
      </w:r>
      <w:r>
        <w:rPr>
          <w:rFonts w:hint="default" w:asciiTheme="minorEastAsia" w:hAnsiTheme="minorEastAsia" w:eastAsiaTheme="minorEastAsia"/>
          <w:sz w:val="32"/>
          <w:szCs w:val="32"/>
          <w:lang w:val="en-US" w:eastAsia="zh-CN"/>
        </w:rPr>
        <w:t>总收入1309.96万元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135.78</w:t>
      </w:r>
      <w:r>
        <w:rPr>
          <w:rFonts w:hint="eastAsia" w:asciiTheme="minorEastAsia" w:hAnsiTheme="minorEastAsia" w:eastAsiaTheme="minorEastAsia"/>
          <w:sz w:val="32"/>
          <w:szCs w:val="32"/>
        </w:rPr>
        <w:t>万元,增长</w:t>
      </w:r>
      <w:r>
        <w:rPr>
          <w:rFonts w:hint="default" w:asciiTheme="minorEastAsia" w:hAnsiTheme="minorEastAsia" w:eastAsiaTheme="minorEastAsia"/>
          <w:sz w:val="32"/>
          <w:szCs w:val="32"/>
          <w:lang w:val="en-US" w:eastAsia="zh-CN"/>
        </w:rPr>
        <w:t>10.37%</w:t>
      </w:r>
      <w:r>
        <w:rPr>
          <w:rFonts w:hint="eastAsia" w:asciiTheme="minorEastAsia" w:hAnsiTheme="minorEastAsia" w:eastAsiaTheme="minorEastAsia"/>
          <w:sz w:val="32"/>
          <w:szCs w:val="32"/>
        </w:rPr>
        <w:t>，主要是</w:t>
      </w:r>
      <w:r>
        <w:rPr>
          <w:rFonts w:hint="default" w:asciiTheme="minorEastAsia" w:hAnsiTheme="minorEastAsia" w:eastAsiaTheme="minorEastAsia"/>
          <w:sz w:val="32"/>
          <w:szCs w:val="32"/>
          <w:lang w:val="en-US" w:eastAsia="zh-CN"/>
        </w:rPr>
        <w:t>市直单位工资标准的提高和公用经费保障标准的提高</w:t>
      </w:r>
      <w:r>
        <w:rPr>
          <w:rFonts w:hint="default" w:asciiTheme="minorEastAsia" w:hAnsiTheme="minorEastAsia" w:eastAsiaTheme="minorEastAsia"/>
          <w:sz w:val="32"/>
          <w:szCs w:val="32"/>
        </w:rPr>
        <w:t>。</w:t>
      </w:r>
    </w:p>
    <w:p>
      <w:pPr>
        <w:pStyle w:val="10"/>
        <w:ind w:firstLine="640" w:firstLineChars="20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rPr>
        <w:t>2018</w:t>
      </w:r>
      <w:r>
        <w:rPr>
          <w:rFonts w:hint="eastAsia" w:asciiTheme="minorEastAsia" w:hAnsiTheme="minorEastAsia" w:eastAsiaTheme="minorEastAsia"/>
          <w:sz w:val="32"/>
          <w:szCs w:val="32"/>
        </w:rPr>
        <w:t>年度</w:t>
      </w:r>
      <w:r>
        <w:rPr>
          <w:rFonts w:hint="default" w:asciiTheme="minorEastAsia" w:hAnsiTheme="minorEastAsia" w:eastAsiaTheme="minorEastAsia"/>
          <w:sz w:val="32"/>
          <w:szCs w:val="32"/>
        </w:rPr>
        <w:t>财政拨款</w:t>
      </w:r>
      <w:r>
        <w:rPr>
          <w:rFonts w:hint="eastAsia" w:asciiTheme="minorEastAsia" w:hAnsiTheme="minorEastAsia" w:eastAsiaTheme="minorEastAsia"/>
          <w:sz w:val="32"/>
          <w:szCs w:val="32"/>
          <w:lang w:eastAsia="zh-CN"/>
        </w:rPr>
        <w:t>决算</w:t>
      </w:r>
      <w:r>
        <w:rPr>
          <w:rFonts w:hint="default" w:asciiTheme="minorEastAsia" w:hAnsiTheme="minorEastAsia" w:eastAsiaTheme="minorEastAsia"/>
          <w:sz w:val="32"/>
          <w:szCs w:val="32"/>
        </w:rPr>
        <w:t>总支出1778.49万元，超支部分为上年度结余资金支出。</w:t>
      </w:r>
      <w:r>
        <w:rPr>
          <w:rFonts w:hint="eastAsia" w:asciiTheme="minorEastAsia" w:hAnsiTheme="minorEastAsia" w:eastAsiaTheme="minorEastAsia"/>
          <w:sz w:val="32"/>
          <w:szCs w:val="32"/>
          <w:lang w:val="en-US" w:eastAsia="zh-CN"/>
        </w:rPr>
        <w:t>与</w:t>
      </w:r>
      <w:r>
        <w:rPr>
          <w:rFonts w:hint="default" w:asciiTheme="minorEastAsia" w:hAnsiTheme="minorEastAsia" w:eastAsiaTheme="minorEastAsia"/>
          <w:sz w:val="32"/>
          <w:szCs w:val="32"/>
          <w:lang w:val="en-US" w:eastAsia="zh-CN"/>
        </w:rPr>
        <w:t>201</w:t>
      </w:r>
      <w:r>
        <w:rPr>
          <w:rFonts w:hint="eastAsia" w:asciiTheme="minorEastAsia" w:hAnsiTheme="minorEastAsia" w:eastAsiaTheme="minorEastAsia"/>
          <w:sz w:val="32"/>
          <w:szCs w:val="32"/>
          <w:lang w:val="en-US" w:eastAsia="zh-CN"/>
        </w:rPr>
        <w:t>7年度财政拨款</w:t>
      </w:r>
      <w:r>
        <w:rPr>
          <w:rFonts w:hint="default" w:asciiTheme="minorEastAsia" w:hAnsiTheme="minorEastAsia" w:eastAsiaTheme="minorEastAsia"/>
          <w:sz w:val="32"/>
          <w:szCs w:val="32"/>
          <w:lang w:val="en-US" w:eastAsia="zh-CN"/>
        </w:rPr>
        <w:t>总支出1603.33万元</w:t>
      </w:r>
      <w:r>
        <w:rPr>
          <w:rFonts w:hint="eastAsia" w:asciiTheme="minorEastAsia" w:hAnsiTheme="minorEastAsia" w:eastAsiaTheme="minorEastAsia"/>
          <w:sz w:val="32"/>
          <w:szCs w:val="32"/>
          <w:lang w:val="en-US" w:eastAsia="zh-CN"/>
        </w:rPr>
        <w:t>相比增加175.16万元，增长</w:t>
      </w:r>
      <w:r>
        <w:rPr>
          <w:rFonts w:hint="default" w:asciiTheme="minorEastAsia" w:hAnsiTheme="minorEastAsia" w:eastAsiaTheme="minorEastAsia"/>
          <w:sz w:val="32"/>
          <w:szCs w:val="32"/>
          <w:lang w:val="en-US" w:eastAsia="zh-CN"/>
        </w:rPr>
        <w:t>10.92%</w:t>
      </w:r>
      <w:r>
        <w:rPr>
          <w:rFonts w:hint="eastAsia" w:asciiTheme="minorEastAsia" w:hAnsiTheme="minorEastAsia" w:eastAsiaTheme="minorEastAsia"/>
          <w:sz w:val="32"/>
          <w:szCs w:val="32"/>
          <w:lang w:val="en-US" w:eastAsia="zh-CN"/>
        </w:rPr>
        <w:t>。</w:t>
      </w:r>
      <w:r>
        <w:rPr>
          <w:rFonts w:hint="default" w:asciiTheme="minorEastAsia" w:hAnsiTheme="minorEastAsia" w:eastAsiaTheme="minorEastAsia"/>
          <w:sz w:val="32"/>
          <w:szCs w:val="32"/>
          <w:lang w:val="en-US" w:eastAsia="zh-CN"/>
        </w:rPr>
        <w:t>增长的主要原因是市直单位工资标准的提高、公用经费保障标准的提高以及专项行动办案经费增加。</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决算总支出</w:t>
      </w:r>
      <w:r>
        <w:rPr>
          <w:rFonts w:hint="default" w:ascii="Times New Roman" w:hAnsi="Times New Roman" w:eastAsia="宋体" w:cs="Times New Roman"/>
          <w:i w:val="0"/>
          <w:iCs w:val="0"/>
          <w:caps w:val="0"/>
          <w:color w:val="333333"/>
          <w:spacing w:val="0"/>
          <w:sz w:val="30"/>
          <w:szCs w:val="30"/>
          <w:shd w:val="clear" w:fill="FFFFFF"/>
        </w:rPr>
        <w:t>1778.49</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与201</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年相比，</w:t>
      </w:r>
      <w:r>
        <w:rPr>
          <w:rFonts w:hint="default" w:asciiTheme="minorEastAsia" w:hAnsiTheme="minorEastAsia" w:eastAsiaTheme="minorEastAsia"/>
          <w:sz w:val="32"/>
          <w:szCs w:val="32"/>
          <w:lang w:val="en-US" w:eastAsia="zh-CN"/>
        </w:rPr>
        <w:t>一般公共预算财政拨款决算总</w:t>
      </w:r>
      <w:r>
        <w:rPr>
          <w:rFonts w:hint="eastAsia" w:asciiTheme="minorEastAsia" w:hAnsiTheme="minorEastAsia" w:eastAsiaTheme="minorEastAsia"/>
          <w:sz w:val="32"/>
          <w:szCs w:val="32"/>
        </w:rPr>
        <w:t>支出增加</w:t>
      </w:r>
      <w:r>
        <w:rPr>
          <w:rFonts w:hint="eastAsia" w:asciiTheme="minorEastAsia" w:hAnsiTheme="minorEastAsia" w:eastAsiaTheme="minorEastAsia"/>
          <w:sz w:val="32"/>
          <w:szCs w:val="32"/>
          <w:lang w:val="en-US" w:eastAsia="zh-CN"/>
        </w:rPr>
        <w:t>175.16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10.92</w:t>
      </w:r>
      <w:r>
        <w:rPr>
          <w:rFonts w:hint="eastAsia" w:asciiTheme="minorEastAsia" w:hAnsiTheme="minorEastAsia" w:eastAsiaTheme="minorEastAsia"/>
          <w:sz w:val="32"/>
          <w:szCs w:val="32"/>
        </w:rPr>
        <w:t>%，主要是因为</w:t>
      </w:r>
      <w:r>
        <w:rPr>
          <w:rFonts w:hint="default" w:asciiTheme="minorEastAsia" w:hAnsiTheme="minorEastAsia" w:eastAsiaTheme="minorEastAsia"/>
          <w:sz w:val="32"/>
          <w:szCs w:val="32"/>
          <w:lang w:val="en-US" w:eastAsia="zh-CN"/>
        </w:rPr>
        <w:t>市直单位工资标准的提高、公用经费保障标准的提高以及专项行动办案经费增加。</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018年度</w:t>
      </w:r>
      <w:r>
        <w:rPr>
          <w:rFonts w:hint="default" w:asciiTheme="minorEastAsia" w:hAnsiTheme="minorEastAsia" w:eastAsiaTheme="minorEastAsia"/>
          <w:sz w:val="32"/>
          <w:szCs w:val="32"/>
          <w:lang w:val="en-US" w:eastAsia="zh-CN"/>
        </w:rPr>
        <w:t>一般公共预算财政拨款决算总支出</w:t>
      </w:r>
      <w:r>
        <w:rPr>
          <w:rFonts w:hint="default" w:ascii="Times New Roman" w:hAnsi="Times New Roman" w:eastAsia="宋体" w:cs="Times New Roman"/>
          <w:i w:val="0"/>
          <w:iCs w:val="0"/>
          <w:caps w:val="0"/>
          <w:color w:val="333333"/>
          <w:spacing w:val="0"/>
          <w:sz w:val="30"/>
          <w:szCs w:val="30"/>
          <w:shd w:val="clear" w:fill="FFFFFF"/>
        </w:rPr>
        <w:t>1778.49</w:t>
      </w:r>
      <w:r>
        <w:rPr>
          <w:rFonts w:hint="eastAsia" w:asciiTheme="minorEastAsia" w:hAnsiTheme="minorEastAsia" w:eastAsiaTheme="minorEastAsia"/>
          <w:sz w:val="32"/>
          <w:szCs w:val="32"/>
          <w:lang w:val="en-US" w:eastAsia="zh-CN"/>
        </w:rPr>
        <w:t>万元，主要用于以下方面：一般公共服务（类）支出256.81万元，占14.44%；公共安全（类）支出1521.68万元，占85.56%。</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年度财政拨款支出年初预算数</w:t>
      </w:r>
      <w:r>
        <w:rPr>
          <w:rFonts w:hint="default" w:asciiTheme="minorEastAsia" w:hAnsiTheme="minorEastAsia" w:eastAsiaTheme="minorEastAsia"/>
          <w:sz w:val="32"/>
          <w:szCs w:val="32"/>
          <w:lang w:val="en-US" w:eastAsia="zh-CN"/>
        </w:rPr>
        <w:t>1062.2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1778.49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167.43</w:t>
      </w:r>
      <w:r>
        <w:rPr>
          <w:rFonts w:hint="eastAsia" w:asciiTheme="minorEastAsia" w:hAnsiTheme="minorEastAsia" w:eastAsiaTheme="minorEastAsia"/>
          <w:sz w:val="32"/>
          <w:szCs w:val="32"/>
        </w:rPr>
        <w:t>%，其中：</w:t>
      </w:r>
    </w:p>
    <w:p>
      <w:pPr>
        <w:pStyle w:val="10"/>
        <w:numPr>
          <w:ilvl w:val="0"/>
          <w:numId w:val="2"/>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基本支出</w:t>
      </w:r>
      <w:r>
        <w:rPr>
          <w:rFonts w:hint="eastAsia" w:asciiTheme="minorEastAsia" w:hAnsiTheme="minorEastAsia" w:eastAsiaTheme="minorEastAsia"/>
          <w:sz w:val="32"/>
          <w:szCs w:val="32"/>
        </w:rPr>
        <w:t>年初</w:t>
      </w:r>
      <w:r>
        <w:rPr>
          <w:rFonts w:hint="eastAsia" w:asciiTheme="minorEastAsia" w:hAnsiTheme="minorEastAsia" w:eastAsiaTheme="minorEastAsia"/>
          <w:sz w:val="32"/>
          <w:szCs w:val="32"/>
          <w:lang w:eastAsia="zh-CN"/>
        </w:rPr>
        <w:t>预算为</w:t>
      </w:r>
      <w:r>
        <w:rPr>
          <w:rFonts w:hint="eastAsia" w:asciiTheme="minorEastAsia" w:hAnsiTheme="minorEastAsia" w:eastAsiaTheme="minorEastAsia"/>
          <w:sz w:val="32"/>
          <w:szCs w:val="32"/>
          <w:lang w:val="en-US" w:eastAsia="zh-CN"/>
        </w:rPr>
        <w:t>827.2万元</w:t>
      </w:r>
      <w:r>
        <w:rPr>
          <w:rFonts w:hint="eastAsia" w:asciiTheme="minorEastAsia" w:hAnsiTheme="minorEastAsia" w:eastAsiaTheme="minorEastAsia"/>
          <w:sz w:val="32"/>
          <w:szCs w:val="32"/>
          <w:lang w:eastAsia="zh-CN"/>
        </w:rPr>
        <w:t>万元，支出决算为</w:t>
      </w:r>
      <w:r>
        <w:rPr>
          <w:rFonts w:hint="eastAsia" w:asciiTheme="minorEastAsia" w:hAnsiTheme="minorEastAsia" w:eastAsiaTheme="minorEastAsia"/>
          <w:sz w:val="32"/>
          <w:szCs w:val="32"/>
          <w:lang w:val="en-US" w:eastAsia="zh-CN"/>
        </w:rPr>
        <w:t>1220.65</w:t>
      </w:r>
      <w:r>
        <w:rPr>
          <w:rFonts w:hint="eastAsia" w:asciiTheme="minorEastAsia" w:hAnsiTheme="minorEastAsia" w:eastAsiaTheme="minorEastAsia"/>
          <w:sz w:val="32"/>
          <w:szCs w:val="32"/>
          <w:lang w:eastAsia="zh-CN"/>
        </w:rPr>
        <w:t>万元，完成年初预算的</w:t>
      </w:r>
      <w:r>
        <w:rPr>
          <w:rFonts w:hint="eastAsia" w:asciiTheme="minorEastAsia" w:hAnsiTheme="minorEastAsia" w:eastAsiaTheme="minorEastAsia"/>
          <w:sz w:val="32"/>
          <w:szCs w:val="32"/>
          <w:lang w:val="en-US" w:eastAsia="zh-CN"/>
        </w:rPr>
        <w:t>147.56</w:t>
      </w:r>
      <w:r>
        <w:rPr>
          <w:rFonts w:hint="eastAsia" w:asciiTheme="minorEastAsia" w:hAnsiTheme="minorEastAsia" w:eastAsiaTheme="minorEastAsia"/>
          <w:sz w:val="32"/>
          <w:szCs w:val="32"/>
          <w:lang w:eastAsia="zh-CN"/>
        </w:rPr>
        <w:t>%，决算数大于年初预算数的主要原因是：因为</w:t>
      </w:r>
      <w:r>
        <w:rPr>
          <w:rFonts w:hint="default" w:asciiTheme="minorEastAsia" w:hAnsiTheme="minorEastAsia" w:eastAsiaTheme="minorEastAsia"/>
          <w:sz w:val="32"/>
          <w:szCs w:val="32"/>
          <w:lang w:val="en-US" w:eastAsia="zh-CN"/>
        </w:rPr>
        <w:t>市直单位工资标准的提高、公用经费保障标准的提高以及专项行动办案经费增加</w:t>
      </w:r>
      <w:r>
        <w:rPr>
          <w:rFonts w:hint="eastAsia" w:asciiTheme="minorEastAsia" w:hAnsiTheme="minorEastAsia" w:eastAsiaTheme="minorEastAsia"/>
          <w:sz w:val="32"/>
          <w:szCs w:val="32"/>
          <w:lang w:val="en-US" w:eastAsia="zh-CN"/>
        </w:rPr>
        <w:t>。</w:t>
      </w:r>
    </w:p>
    <w:p>
      <w:pPr>
        <w:pStyle w:val="10"/>
        <w:numPr>
          <w:ilvl w:val="0"/>
          <w:numId w:val="2"/>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项目支出</w:t>
      </w:r>
      <w:r>
        <w:rPr>
          <w:rFonts w:hint="eastAsia" w:asciiTheme="minorEastAsia" w:hAnsiTheme="minorEastAsia" w:eastAsiaTheme="minorEastAsia"/>
          <w:sz w:val="32"/>
          <w:szCs w:val="32"/>
          <w:lang w:eastAsia="zh-CN"/>
        </w:rPr>
        <w:t>年初预算为</w:t>
      </w:r>
      <w:r>
        <w:rPr>
          <w:rFonts w:hint="eastAsia" w:asciiTheme="minorEastAsia" w:hAnsiTheme="minorEastAsia" w:eastAsiaTheme="minorEastAsia"/>
          <w:sz w:val="32"/>
          <w:szCs w:val="32"/>
          <w:lang w:val="en-US" w:eastAsia="zh-CN"/>
        </w:rPr>
        <w:t>235</w:t>
      </w:r>
      <w:r>
        <w:rPr>
          <w:rFonts w:hint="eastAsia" w:asciiTheme="minorEastAsia" w:hAnsiTheme="minorEastAsia" w:eastAsiaTheme="minorEastAsia"/>
          <w:sz w:val="32"/>
          <w:szCs w:val="32"/>
          <w:lang w:eastAsia="zh-CN"/>
        </w:rPr>
        <w:t>万元，支出决算为</w:t>
      </w:r>
      <w:r>
        <w:rPr>
          <w:rFonts w:hint="eastAsia" w:asciiTheme="minorEastAsia" w:hAnsiTheme="minorEastAsia" w:eastAsiaTheme="minorEastAsia"/>
          <w:sz w:val="32"/>
          <w:szCs w:val="32"/>
          <w:lang w:val="en-US" w:eastAsia="zh-CN"/>
        </w:rPr>
        <w:t>557.84</w:t>
      </w:r>
      <w:r>
        <w:rPr>
          <w:rFonts w:hint="eastAsia" w:asciiTheme="minorEastAsia" w:hAnsiTheme="minorEastAsia" w:eastAsiaTheme="minorEastAsia"/>
          <w:sz w:val="32"/>
          <w:szCs w:val="32"/>
          <w:lang w:eastAsia="zh-CN"/>
        </w:rPr>
        <w:t>万元，完成年初预算的</w:t>
      </w:r>
      <w:r>
        <w:rPr>
          <w:rFonts w:hint="eastAsia" w:asciiTheme="minorEastAsia" w:hAnsiTheme="minorEastAsia" w:eastAsiaTheme="minorEastAsia"/>
          <w:sz w:val="32"/>
          <w:szCs w:val="32"/>
          <w:lang w:val="en-US" w:eastAsia="zh-CN"/>
        </w:rPr>
        <w:t>237.38</w:t>
      </w:r>
      <w:r>
        <w:rPr>
          <w:rFonts w:hint="eastAsia" w:asciiTheme="minorEastAsia" w:hAnsiTheme="minorEastAsia" w:eastAsiaTheme="minorEastAsia"/>
          <w:sz w:val="32"/>
          <w:szCs w:val="32"/>
          <w:lang w:eastAsia="zh-CN"/>
        </w:rPr>
        <w:t>%，决算数大于年初预算数的主要原因是：办案设备的购置、公安内网保密系统建设、人脸识别建设、警务通购置、</w:t>
      </w:r>
      <w:r>
        <w:rPr>
          <w:rFonts w:hint="default" w:asciiTheme="minorEastAsia" w:hAnsiTheme="minorEastAsia" w:eastAsiaTheme="minorEastAsia"/>
          <w:sz w:val="32"/>
          <w:szCs w:val="32"/>
          <w:lang w:val="en-US" w:eastAsia="zh-CN"/>
        </w:rPr>
        <w:t>专项行动办案经费</w:t>
      </w:r>
      <w:r>
        <w:rPr>
          <w:rFonts w:hint="eastAsia" w:asciiTheme="minorEastAsia" w:hAnsiTheme="minorEastAsia" w:eastAsiaTheme="minorEastAsia"/>
          <w:sz w:val="32"/>
          <w:szCs w:val="32"/>
          <w:lang w:val="en-US" w:eastAsia="zh-CN"/>
        </w:rPr>
        <w:t>的</w:t>
      </w:r>
      <w:r>
        <w:rPr>
          <w:rFonts w:hint="default" w:asciiTheme="minorEastAsia" w:hAnsiTheme="minorEastAsia" w:eastAsiaTheme="minorEastAsia"/>
          <w:sz w:val="32"/>
          <w:szCs w:val="32"/>
          <w:lang w:val="en-US" w:eastAsia="zh-CN"/>
        </w:rPr>
        <w:t>增加</w:t>
      </w:r>
      <w:r>
        <w:rPr>
          <w:rFonts w:hint="eastAsia" w:asciiTheme="minorEastAsia" w:hAnsiTheme="minorEastAsia" w:eastAsiaTheme="minorEastAsia"/>
          <w:sz w:val="32"/>
          <w:szCs w:val="32"/>
          <w:lang w:val="en-US" w:eastAsia="zh-CN"/>
        </w:rPr>
        <w:t>等。</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60" w:lineRule="atLeast"/>
        <w:ind w:right="0" w:firstLine="600" w:firstLineChars="200"/>
        <w:jc w:val="left"/>
        <w:rPr>
          <w:rFonts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0"/>
          <w:szCs w:val="30"/>
          <w:shd w:val="clear" w:fill="FFFFFF"/>
          <w:lang w:val="en-US" w:eastAsia="zh-CN" w:bidi="ar"/>
        </w:rPr>
        <w:t>2</w:t>
      </w:r>
      <w:r>
        <w:rPr>
          <w:rFonts w:hint="default" w:cs="黑体" w:asciiTheme="minorEastAsia" w:hAnsiTheme="minorEastAsia" w:eastAsiaTheme="minorEastAsia"/>
          <w:color w:val="000000"/>
          <w:kern w:val="0"/>
          <w:sz w:val="32"/>
          <w:szCs w:val="32"/>
          <w:lang w:val="en-US" w:eastAsia="zh-CN" w:bidi="ar-SA"/>
        </w:rPr>
        <w:t>018</w:t>
      </w:r>
      <w:r>
        <w:rPr>
          <w:rFonts w:hint="eastAsia" w:cs="黑体" w:asciiTheme="minorEastAsia" w:hAnsiTheme="minorEastAsia" w:eastAsiaTheme="minorEastAsia"/>
          <w:color w:val="000000"/>
          <w:kern w:val="0"/>
          <w:sz w:val="32"/>
          <w:szCs w:val="32"/>
          <w:lang w:val="en-US" w:eastAsia="zh-CN" w:bidi="ar-SA"/>
        </w:rPr>
        <w:t>年度财政拨款基本</w:t>
      </w:r>
      <w:r>
        <w:rPr>
          <w:rFonts w:hint="eastAsia" w:cs="黑体" w:asciiTheme="minorEastAsia" w:hAnsiTheme="minorEastAsia"/>
          <w:color w:val="000000"/>
          <w:kern w:val="0"/>
          <w:sz w:val="32"/>
          <w:szCs w:val="32"/>
          <w:lang w:val="en-US" w:eastAsia="zh-CN" w:bidi="ar-SA"/>
        </w:rPr>
        <w:t>支出</w:t>
      </w:r>
      <w:r>
        <w:rPr>
          <w:rFonts w:hint="eastAsia" w:cs="黑体" w:asciiTheme="minorEastAsia" w:hAnsiTheme="minorEastAsia" w:eastAsiaTheme="minorEastAsia"/>
          <w:color w:val="000000"/>
          <w:kern w:val="0"/>
          <w:sz w:val="32"/>
          <w:szCs w:val="32"/>
          <w:lang w:val="en-US" w:eastAsia="zh-CN" w:bidi="ar-SA"/>
        </w:rPr>
        <w:t>决算共计</w:t>
      </w:r>
      <w:r>
        <w:rPr>
          <w:rFonts w:hint="default" w:cs="黑体" w:asciiTheme="minorEastAsia" w:hAnsiTheme="minorEastAsia" w:eastAsiaTheme="minorEastAsia"/>
          <w:color w:val="000000"/>
          <w:kern w:val="0"/>
          <w:sz w:val="32"/>
          <w:szCs w:val="32"/>
          <w:lang w:val="en-US" w:eastAsia="zh-CN" w:bidi="ar-SA"/>
        </w:rPr>
        <w:t>1220.65万元</w:t>
      </w:r>
      <w:r>
        <w:rPr>
          <w:rFonts w:hint="default" w:ascii="仿宋_GB2312" w:hAnsi="微软雅黑" w:eastAsia="仿宋_GB2312" w:cs="仿宋_GB2312"/>
          <w:i w:val="0"/>
          <w:iCs w:val="0"/>
          <w:caps w:val="0"/>
          <w:color w:val="333333"/>
          <w:spacing w:val="0"/>
          <w:kern w:val="0"/>
          <w:sz w:val="30"/>
          <w:szCs w:val="30"/>
          <w:shd w:val="clear" w:fill="FFFFFF"/>
          <w:lang w:val="en-US" w:eastAsia="zh-CN" w:bidi="ar"/>
        </w:rPr>
        <w:t>。</w:t>
      </w:r>
    </w:p>
    <w:p>
      <w:pPr>
        <w:pStyle w:val="10"/>
        <w:ind w:firstLine="640" w:firstLineChars="200"/>
        <w:rPr>
          <w:rFonts w:hint="eastAsia" w:asciiTheme="minorEastAsia" w:hAnsiTheme="minorEastAsia" w:eastAsiaTheme="minorEastAsia"/>
          <w:sz w:val="32"/>
          <w:szCs w:val="32"/>
        </w:rPr>
      </w:pPr>
      <w:r>
        <w:rPr>
          <w:rFonts w:hint="default" w:asciiTheme="minorEastAsia" w:hAnsiTheme="minorEastAsia" w:eastAsiaTheme="minorEastAsia"/>
          <w:sz w:val="32"/>
          <w:szCs w:val="32"/>
          <w:lang w:val="en-US" w:eastAsia="zh-CN"/>
        </w:rPr>
        <w:t>（1）2018年度人员经费支出1056.38万元</w:t>
      </w:r>
      <w:r>
        <w:rPr>
          <w:rFonts w:hint="eastAsia" w:asciiTheme="minorEastAsia" w:hAnsiTheme="minorEastAsia" w:eastAsiaTheme="minorEastAsia"/>
          <w:sz w:val="32"/>
          <w:szCs w:val="32"/>
          <w:lang w:val="en-US" w:eastAsia="zh-CN"/>
        </w:rPr>
        <w:t>，占基本支出的86.54%</w:t>
      </w:r>
      <w:r>
        <w:rPr>
          <w:rFonts w:hint="default" w:asciiTheme="minorEastAsia" w:hAnsiTheme="minorEastAsia" w:eastAsiaTheme="minorEastAsia"/>
          <w:sz w:val="32"/>
          <w:szCs w:val="32"/>
          <w:lang w:val="en-US" w:eastAsia="zh-CN"/>
        </w:rPr>
        <w:t>。其中：工资福利支出931.35万元，其中包括基本工资354.03万元，津贴补贴371.75万元，奖金（政府绩效考核）95.31万元，其他社会保障缴费81.02万元，伙食补助费14.29万元,住房公积金14.26万元，其他工资福利支出0.69万元；对个人和家庭的补助125.03万元，其中包括退休费1.97万元，医疗费补助48.69万元，奖励金48.51万元，其他对个人和家庭的补助支出25.86万元。</w:t>
      </w:r>
    </w:p>
    <w:p>
      <w:pPr>
        <w:pStyle w:val="10"/>
        <w:ind w:firstLine="640" w:firstLineChars="200"/>
        <w:rPr>
          <w:rFonts w:hint="eastAsia" w:asciiTheme="minorEastAsia" w:hAnsiTheme="minorEastAsia" w:eastAsiaTheme="minorEastAsia"/>
          <w:sz w:val="32"/>
          <w:szCs w:val="32"/>
        </w:rPr>
      </w:pPr>
      <w:r>
        <w:rPr>
          <w:rFonts w:hint="default" w:asciiTheme="minorEastAsia" w:hAnsiTheme="minorEastAsia" w:eastAsiaTheme="minorEastAsia"/>
          <w:sz w:val="32"/>
          <w:szCs w:val="32"/>
          <w:lang w:val="en-US" w:eastAsia="zh-CN"/>
        </w:rPr>
        <w:t>（2）2018年度公用经费支出为164.27万元</w:t>
      </w:r>
      <w:r>
        <w:rPr>
          <w:rFonts w:hint="eastAsia" w:asciiTheme="minorEastAsia" w:hAnsiTheme="minorEastAsia" w:eastAsiaTheme="minorEastAsia"/>
          <w:sz w:val="32"/>
          <w:szCs w:val="32"/>
          <w:lang w:val="en-US" w:eastAsia="zh-CN"/>
        </w:rPr>
        <w:t>，占基本支出的13.46%</w:t>
      </w:r>
      <w:r>
        <w:rPr>
          <w:rFonts w:hint="default" w:asciiTheme="minorEastAsia" w:hAnsiTheme="minorEastAsia" w:eastAsiaTheme="minorEastAsia"/>
          <w:sz w:val="32"/>
          <w:szCs w:val="32"/>
          <w:lang w:val="en-US" w:eastAsia="zh-CN"/>
        </w:rPr>
        <w:t>。其中：办公费13.69万元，印刷费2.79万元，手续费0.14万元，电费0.88万元，邮电费1.31万元，差旅费18.9万元，维修（护）费9.96万元，培训费1.02万元，公务接待1.72万元，专用材料费0.7万元，被装购置费3.88万元，劳务费2.3万元，福利费5.31万元，公车运行经费8.27万元，其他交通费用（租车费）43.84万，其他一般商品和服务支出32.86万元，办公设备购置16.71万元，共计164.27万元。</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2018年度</w:t>
      </w: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53.13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53.67</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2018年度</w:t>
      </w: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default" w:asciiTheme="minorEastAsia" w:hAnsiTheme="minorEastAsia" w:eastAsiaTheme="minorEastAsia"/>
          <w:sz w:val="32"/>
          <w:szCs w:val="32"/>
          <w:lang w:val="en-US" w:eastAsia="zh-CN"/>
        </w:rPr>
        <w:t>其中因公出国（境）团组数为0,人数为0。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2018年度</w:t>
      </w: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8.74</w:t>
      </w:r>
      <w:r>
        <w:rPr>
          <w:rFonts w:hint="eastAsia" w:asciiTheme="minorEastAsia" w:hAnsiTheme="minorEastAsia" w:eastAsiaTheme="minorEastAsia"/>
          <w:sz w:val="32"/>
          <w:szCs w:val="32"/>
        </w:rPr>
        <w:t>%，决算数小于年初预算数的主要原因是</w:t>
      </w:r>
      <w:r>
        <w:rPr>
          <w:rFonts w:hint="default" w:asciiTheme="minorEastAsia" w:hAnsiTheme="minorEastAsia" w:eastAsiaTheme="minorEastAsia"/>
          <w:sz w:val="32"/>
          <w:szCs w:val="32"/>
          <w:lang w:val="en-US" w:eastAsia="zh-CN"/>
        </w:rPr>
        <w:t>节约开支。为严格执行中央、省、市公务接待的文件精神，201</w:t>
      </w:r>
      <w:r>
        <w:rPr>
          <w:rFonts w:hint="eastAsia" w:asciiTheme="minorEastAsia" w:hAnsiTheme="minorEastAsia" w:eastAsiaTheme="minorEastAsia"/>
          <w:sz w:val="32"/>
          <w:szCs w:val="32"/>
          <w:lang w:val="en-US" w:eastAsia="zh-CN"/>
        </w:rPr>
        <w:t>8</w:t>
      </w:r>
      <w:r>
        <w:rPr>
          <w:rFonts w:hint="default" w:asciiTheme="minorEastAsia" w:hAnsiTheme="minorEastAsia" w:eastAsiaTheme="minorEastAsia"/>
          <w:sz w:val="32"/>
          <w:szCs w:val="32"/>
          <w:lang w:val="en-US" w:eastAsia="zh-CN"/>
        </w:rPr>
        <w:t>年我局尽量减少公务对外接待次数，并严格控制接待经费标准开支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2017</w:t>
      </w:r>
      <w:r>
        <w:rPr>
          <w:rFonts w:hint="eastAsia" w:asciiTheme="minorEastAsia" w:hAnsiTheme="minorEastAsia" w:eastAsiaTheme="minorEastAsia"/>
          <w:sz w:val="32"/>
          <w:szCs w:val="32"/>
        </w:rPr>
        <w:t>年公务接待费支出</w:t>
      </w:r>
      <w:r>
        <w:rPr>
          <w:rFonts w:hint="eastAsia" w:asciiTheme="minorEastAsia" w:hAnsiTheme="minorEastAsia" w:eastAsiaTheme="minorEastAsia"/>
          <w:sz w:val="32"/>
          <w:szCs w:val="32"/>
          <w:lang w:val="en-US" w:eastAsia="zh-CN"/>
        </w:rPr>
        <w:t>7.19万元，</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4.22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58.69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较上年减少</w:t>
      </w:r>
      <w:r>
        <w:rPr>
          <w:rFonts w:hint="eastAsia" w:asciiTheme="minorEastAsia" w:hAnsiTheme="minorEastAsia" w:eastAsiaTheme="minorEastAsia"/>
          <w:sz w:val="32"/>
          <w:szCs w:val="32"/>
        </w:rPr>
        <w:t>的主要原因是为了节约开支</w:t>
      </w:r>
      <w:r>
        <w:rPr>
          <w:rFonts w:hint="eastAsia" w:asciiTheme="minorEastAsia" w:hAnsiTheme="minorEastAsia" w:eastAsiaTheme="minorEastAsia"/>
          <w:sz w:val="32"/>
          <w:szCs w:val="32"/>
          <w:lang w:eastAsia="zh-CN"/>
        </w:rPr>
        <w:t>，</w:t>
      </w:r>
      <w:r>
        <w:rPr>
          <w:rFonts w:hint="default" w:asciiTheme="minorEastAsia" w:hAnsiTheme="minorEastAsia" w:eastAsiaTheme="minorEastAsia"/>
          <w:sz w:val="32"/>
          <w:szCs w:val="32"/>
          <w:lang w:val="en-US" w:eastAsia="zh-CN"/>
        </w:rPr>
        <w:t>我局尽量减少公务对外接待次数</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2018年度</w:t>
      </w: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万元，支出决算为</w:t>
      </w:r>
      <w:r>
        <w:rPr>
          <w:rFonts w:hint="default" w:ascii="Times New Roman" w:hAnsi="Times New Roman" w:eastAsia="宋体" w:cs="Times New Roman"/>
          <w:i w:val="0"/>
          <w:iCs w:val="0"/>
          <w:caps w:val="0"/>
          <w:color w:val="333333"/>
          <w:spacing w:val="0"/>
          <w:sz w:val="30"/>
          <w:szCs w:val="30"/>
          <w:shd w:val="clear" w:fill="FFFFFF"/>
        </w:rPr>
        <w:t>50.1</w:t>
      </w:r>
      <w:r>
        <w:rPr>
          <w:rFonts w:hint="eastAsia" w:ascii="仿宋_GB2312" w:hAnsi="宋体" w:eastAsia="仿宋_GB2312" w:cs="仿宋_GB2312"/>
          <w:i w:val="0"/>
          <w:iCs w:val="0"/>
          <w:caps w:val="0"/>
          <w:color w:val="333333"/>
          <w:spacing w:val="0"/>
          <w:sz w:val="30"/>
          <w:szCs w:val="30"/>
          <w:shd w:val="clear" w:fill="FFFFFF"/>
          <w:lang w:val="en-US" w:eastAsia="zh-CN"/>
        </w:rPr>
        <w:t>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77.17</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2017年</w:t>
      </w:r>
      <w:r>
        <w:rPr>
          <w:rFonts w:hint="default" w:asciiTheme="minorEastAsia" w:hAnsiTheme="minorEastAsia" w:eastAsiaTheme="minorEastAsia"/>
          <w:sz w:val="32"/>
          <w:szCs w:val="32"/>
          <w:lang w:val="en-US" w:eastAsia="zh-CN"/>
        </w:rPr>
        <w:t>公务用车购置及运行费支出</w:t>
      </w:r>
      <w:r>
        <w:rPr>
          <w:rFonts w:hint="default" w:ascii="Times New Roman" w:hAnsi="Times New Roman" w:eastAsia="宋体" w:cs="Times New Roman"/>
          <w:i w:val="0"/>
          <w:iCs w:val="0"/>
          <w:caps w:val="0"/>
          <w:color w:val="333333"/>
          <w:spacing w:val="0"/>
          <w:sz w:val="30"/>
          <w:szCs w:val="30"/>
          <w:shd w:val="clear" w:fill="FFFFFF"/>
        </w:rPr>
        <w:t>54.52</w:t>
      </w:r>
      <w:r>
        <w:rPr>
          <w:rFonts w:hint="default" w:asciiTheme="minorEastAsia" w:hAnsiTheme="minorEastAsia" w:eastAsiaTheme="minorEastAsia"/>
          <w:sz w:val="32"/>
          <w:szCs w:val="32"/>
          <w:lang w:val="en-US" w:eastAsia="zh-CN"/>
        </w:rPr>
        <w:t>万元</w:t>
      </w:r>
      <w:r>
        <w:rPr>
          <w:rFonts w:hint="eastAsia" w:ascii="仿宋_GB2312" w:hAnsi="Times New Roman" w:eastAsia="仿宋_GB2312" w:cs="仿宋_GB2312"/>
          <w:kern w:val="0"/>
          <w:sz w:val="30"/>
          <w:szCs w:val="30"/>
          <w:lang w:val="en-US" w:eastAsia="zh-CN" w:bidi="ar"/>
        </w:rPr>
        <w:t>，</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4.36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较上年</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年度“三公”经费财政拨款决算</w:t>
      </w:r>
      <w:r>
        <w:rPr>
          <w:rFonts w:hint="eastAsia" w:asciiTheme="minorEastAsia" w:hAnsiTheme="minorEastAsia" w:eastAsiaTheme="minorEastAsia"/>
          <w:sz w:val="32"/>
          <w:szCs w:val="32"/>
          <w:lang w:eastAsia="zh-CN"/>
        </w:rPr>
        <w:t>总</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53.13万元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其中</w:t>
      </w:r>
      <w:r>
        <w:rPr>
          <w:rFonts w:hint="eastAsia" w:asciiTheme="minorEastAsia" w:hAnsiTheme="minorEastAsia" w:eastAsiaTheme="minorEastAsia"/>
          <w:sz w:val="32"/>
          <w:szCs w:val="32"/>
        </w:rPr>
        <w:t>公务接待费支出决算</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50.16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94.41</w:t>
      </w:r>
      <w:r>
        <w:rPr>
          <w:rFonts w:hint="eastAsia" w:asciiTheme="minorEastAsia" w:hAnsiTheme="minorEastAsia" w:eastAsiaTheme="minorEastAsia"/>
          <w:sz w:val="32"/>
          <w:szCs w:val="32"/>
        </w:rPr>
        <w:t>%。其中：</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112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620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来访检查工作、交流业务</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50.16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17.19</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32.97</w:t>
      </w:r>
      <w:r>
        <w:rPr>
          <w:rFonts w:hint="eastAsia" w:asciiTheme="minorEastAsia" w:hAnsiTheme="minorEastAsia"/>
          <w:sz w:val="32"/>
          <w:szCs w:val="32"/>
        </w:rPr>
        <w:t>万元，主要是</w:t>
      </w:r>
      <w:r>
        <w:rPr>
          <w:rFonts w:hint="eastAsia" w:asciiTheme="minorEastAsia" w:hAnsiTheme="minorEastAsia"/>
          <w:sz w:val="32"/>
          <w:szCs w:val="32"/>
          <w:lang w:eastAsia="zh-CN"/>
        </w:rPr>
        <w:t>警车加油、维修、购保险等</w:t>
      </w:r>
      <w:r>
        <w:rPr>
          <w:rFonts w:hint="eastAsia" w:asciiTheme="minorEastAsia" w:hAnsiTheme="minorEastAsia"/>
          <w:sz w:val="32"/>
          <w:szCs w:val="32"/>
        </w:rPr>
        <w:t>支出，截止201</w:t>
      </w:r>
      <w:r>
        <w:rPr>
          <w:rFonts w:hint="eastAsia" w:asciiTheme="minorEastAsia" w:hAnsiTheme="minorEastAsia"/>
          <w:sz w:val="32"/>
          <w:szCs w:val="32"/>
          <w:lang w:val="en-US" w:eastAsia="zh-CN"/>
        </w:rPr>
        <w:t>8</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10</w:t>
      </w:r>
      <w:r>
        <w:rPr>
          <w:rFonts w:hint="eastAsia" w:asciiTheme="minorEastAsia" w:hAnsiTheme="minorEastAsia"/>
          <w:sz w:val="32"/>
          <w:szCs w:val="32"/>
        </w:rPr>
        <w:t>辆。</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default" w:asciiTheme="minorEastAsia" w:hAnsiTheme="minorEastAsia" w:eastAsiaTheme="minorEastAsia" w:cstheme="minorBidi"/>
          <w:color w:val="auto"/>
          <w:kern w:val="2"/>
          <w:sz w:val="32"/>
          <w:szCs w:val="32"/>
          <w:lang w:val="en-US" w:eastAsia="zh-CN" w:bidi="ar-SA"/>
        </w:rPr>
        <w:t>本单位无政府性基金收支。</w:t>
      </w:r>
    </w:p>
    <w:p>
      <w:pPr>
        <w:pStyle w:val="10"/>
        <w:ind w:firstLine="640" w:firstLineChars="200"/>
        <w:rPr>
          <w:rFonts w:hAnsi="黑体"/>
          <w:b/>
          <w:color w:val="auto"/>
          <w:sz w:val="32"/>
          <w:szCs w:val="32"/>
        </w:rPr>
      </w:pPr>
      <w:r>
        <w:rPr>
          <w:rFonts w:hint="eastAsia" w:hAnsi="黑体"/>
          <w:b/>
          <w:color w:val="auto"/>
          <w:sz w:val="32"/>
          <w:szCs w:val="32"/>
        </w:rPr>
        <w:t>九、</w:t>
      </w:r>
      <w:r>
        <w:rPr>
          <w:rFonts w:hint="eastAsia" w:hAnsi="黑体"/>
          <w:b/>
          <w:color w:val="auto"/>
          <w:sz w:val="32"/>
          <w:szCs w:val="32"/>
          <w:lang w:eastAsia="zh-CN"/>
        </w:rPr>
        <w:t>重点项目预算的绩效目标等</w:t>
      </w:r>
      <w:r>
        <w:rPr>
          <w:rFonts w:hint="eastAsia" w:hAnsi="黑体"/>
          <w:b/>
          <w:color w:val="auto"/>
          <w:sz w:val="32"/>
          <w:szCs w:val="32"/>
        </w:rPr>
        <w:t>201</w:t>
      </w:r>
      <w:r>
        <w:rPr>
          <w:rFonts w:hint="eastAsia" w:hAnsi="黑体"/>
          <w:b/>
          <w:color w:val="auto"/>
          <w:sz w:val="32"/>
          <w:szCs w:val="32"/>
          <w:lang w:val="en-US" w:eastAsia="zh-CN"/>
        </w:rPr>
        <w:t>8</w:t>
      </w:r>
      <w:r>
        <w:rPr>
          <w:rFonts w:hint="eastAsia" w:hAnsi="黑体"/>
          <w:b/>
          <w:color w:val="auto"/>
          <w:sz w:val="32"/>
          <w:szCs w:val="32"/>
        </w:rPr>
        <w:t>年度预算绩效情况说明</w:t>
      </w:r>
    </w:p>
    <w:p>
      <w:pPr>
        <w:pStyle w:val="10"/>
        <w:ind w:firstLine="960" w:firstLineChars="300"/>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本单位2018年度无重点项目绩效评价。2018年本部门整体支出和项目支出实行绩效目标管理，纳入2018年整体支出绩效的金额为</w:t>
      </w:r>
      <w:r>
        <w:rPr>
          <w:rFonts w:hint="default" w:asciiTheme="minorEastAsia" w:hAnsiTheme="minorEastAsia" w:eastAsiaTheme="minorEastAsia"/>
          <w:sz w:val="32"/>
          <w:szCs w:val="32"/>
        </w:rPr>
        <w:t>1778.49</w:t>
      </w:r>
      <w:r>
        <w:rPr>
          <w:rFonts w:hint="eastAsia" w:asciiTheme="minorEastAsia" w:hAnsiTheme="minorEastAsia" w:eastAsiaTheme="minorEastAsia" w:cstheme="minorBidi"/>
          <w:color w:val="auto"/>
          <w:kern w:val="2"/>
          <w:sz w:val="32"/>
          <w:szCs w:val="32"/>
          <w:lang w:val="en-US" w:eastAsia="zh-CN" w:bidi="ar-SA"/>
        </w:rPr>
        <w:t>万元，其中，基本支出</w:t>
      </w:r>
      <w:r>
        <w:rPr>
          <w:rFonts w:hint="eastAsia" w:asciiTheme="minorEastAsia" w:hAnsiTheme="minorEastAsia" w:eastAsiaTheme="minorEastAsia"/>
          <w:sz w:val="32"/>
          <w:szCs w:val="32"/>
          <w:lang w:val="en-US" w:eastAsia="zh-CN"/>
        </w:rPr>
        <w:t>1220.65</w:t>
      </w:r>
      <w:r>
        <w:rPr>
          <w:rFonts w:hint="eastAsia" w:asciiTheme="minorEastAsia" w:hAnsiTheme="minorEastAsia" w:eastAsiaTheme="minorEastAsia" w:cstheme="minorBidi"/>
          <w:color w:val="auto"/>
          <w:kern w:val="2"/>
          <w:sz w:val="32"/>
          <w:szCs w:val="32"/>
          <w:lang w:val="en-US" w:eastAsia="zh-CN" w:bidi="ar-SA"/>
        </w:rPr>
        <w:t>万元，项目支出</w:t>
      </w:r>
      <w:r>
        <w:rPr>
          <w:rFonts w:hint="eastAsia" w:asciiTheme="minorEastAsia" w:hAnsiTheme="minorEastAsia" w:eastAsiaTheme="minorEastAsia"/>
          <w:sz w:val="32"/>
          <w:szCs w:val="32"/>
          <w:lang w:val="en-US" w:eastAsia="zh-CN"/>
        </w:rPr>
        <w:t>557.84</w:t>
      </w:r>
      <w:r>
        <w:rPr>
          <w:rFonts w:hint="eastAsia" w:asciiTheme="minorEastAsia" w:hAnsiTheme="minorEastAsia" w:eastAsiaTheme="minorEastAsia" w:cstheme="minorBidi"/>
          <w:color w:val="auto"/>
          <w:kern w:val="2"/>
          <w:sz w:val="32"/>
          <w:szCs w:val="32"/>
          <w:lang w:val="en-US" w:eastAsia="zh-CN" w:bidi="ar-SA"/>
        </w:rPr>
        <w:t>万元。</w:t>
      </w:r>
    </w:p>
    <w:p>
      <w:pPr>
        <w:pStyle w:val="10"/>
        <w:ind w:firstLine="640" w:firstLineChars="20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480" w:firstLineChars="15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本部门201</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年度机关运行经费支出</w:t>
      </w:r>
      <w:r>
        <w:rPr>
          <w:rFonts w:hint="default" w:ascii="Times New Roman" w:hAnsi="Times New Roman" w:eastAsia="宋体" w:cs="Times New Roman"/>
          <w:i w:val="0"/>
          <w:iCs w:val="0"/>
          <w:caps w:val="0"/>
          <w:color w:val="333333"/>
          <w:spacing w:val="0"/>
          <w:sz w:val="30"/>
          <w:szCs w:val="30"/>
          <w:shd w:val="clear" w:fill="FFFFFF"/>
        </w:rPr>
        <w:t>164.27</w:t>
      </w:r>
      <w:r>
        <w:rPr>
          <w:rFonts w:hint="eastAsia" w:cs="黑体" w:asciiTheme="minorEastAsia" w:hAnsiTheme="minorEastAsia"/>
          <w:color w:val="000000"/>
          <w:kern w:val="0"/>
          <w:sz w:val="32"/>
          <w:szCs w:val="32"/>
        </w:rPr>
        <w:t>万元，比年初预算数180</w:t>
      </w:r>
      <w:r>
        <w:rPr>
          <w:rFonts w:hint="eastAsia" w:cs="黑体" w:asciiTheme="minorEastAsia" w:hAnsiTheme="minorEastAsia"/>
          <w:color w:val="000000"/>
          <w:kern w:val="0"/>
          <w:sz w:val="32"/>
          <w:szCs w:val="32"/>
          <w:lang w:val="en-US" w:eastAsia="zh-CN"/>
        </w:rPr>
        <w:t>万元</w:t>
      </w:r>
      <w:r>
        <w:rPr>
          <w:rFonts w:hint="eastAsia" w:cs="黑体" w:asciiTheme="minorEastAsia" w:hAnsiTheme="minorEastAsia"/>
          <w:color w:val="000000"/>
          <w:kern w:val="0"/>
          <w:sz w:val="32"/>
          <w:szCs w:val="32"/>
        </w:rPr>
        <w:t>减少</w:t>
      </w:r>
      <w:r>
        <w:rPr>
          <w:rFonts w:hint="eastAsia" w:cs="黑体" w:asciiTheme="minorEastAsia" w:hAnsiTheme="minorEastAsia"/>
          <w:color w:val="000000"/>
          <w:kern w:val="0"/>
          <w:sz w:val="32"/>
          <w:szCs w:val="32"/>
          <w:lang w:val="en-US" w:eastAsia="zh-CN"/>
        </w:rPr>
        <w:t>15.73</w:t>
      </w:r>
      <w:r>
        <w:rPr>
          <w:rFonts w:hint="eastAsia" w:cs="黑体" w:asciiTheme="minorEastAsia" w:hAnsiTheme="minorEastAsia"/>
          <w:color w:val="000000"/>
          <w:kern w:val="0"/>
          <w:sz w:val="32"/>
          <w:szCs w:val="32"/>
        </w:rPr>
        <w:t>万元，降低</w:t>
      </w:r>
      <w:r>
        <w:rPr>
          <w:rFonts w:hint="eastAsia" w:cs="黑体" w:asciiTheme="minorEastAsia" w:hAnsiTheme="minorEastAsia"/>
          <w:color w:val="000000"/>
          <w:kern w:val="0"/>
          <w:sz w:val="32"/>
          <w:szCs w:val="32"/>
          <w:lang w:val="en-US" w:eastAsia="zh-CN"/>
        </w:rPr>
        <w:t>8.74</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节约开支。与</w:t>
      </w:r>
      <w:r>
        <w:rPr>
          <w:rFonts w:hint="eastAsia" w:cs="黑体" w:asciiTheme="minorEastAsia" w:hAnsiTheme="minorEastAsia"/>
          <w:color w:val="000000"/>
          <w:kern w:val="0"/>
          <w:sz w:val="32"/>
          <w:szCs w:val="32"/>
          <w:lang w:val="en-US" w:eastAsia="zh-CN"/>
        </w:rPr>
        <w:t>2017年决算数</w:t>
      </w:r>
      <w:r>
        <w:rPr>
          <w:rFonts w:hint="default" w:ascii="Times New Roman" w:hAnsi="Times New Roman" w:eastAsia="宋体" w:cs="Times New Roman"/>
          <w:i w:val="0"/>
          <w:iCs w:val="0"/>
          <w:caps w:val="0"/>
          <w:color w:val="333333"/>
          <w:spacing w:val="0"/>
          <w:sz w:val="30"/>
          <w:szCs w:val="30"/>
          <w:shd w:val="clear" w:fill="FFFFFF"/>
        </w:rPr>
        <w:t>123.42</w:t>
      </w:r>
      <w:r>
        <w:rPr>
          <w:rFonts w:hint="eastAsia" w:cs="黑体" w:asciiTheme="minorEastAsia" w:hAnsiTheme="minorEastAsia"/>
          <w:color w:val="000000"/>
          <w:kern w:val="0"/>
          <w:sz w:val="32"/>
          <w:szCs w:val="32"/>
          <w:lang w:val="en-US" w:eastAsia="zh-CN"/>
        </w:rPr>
        <w:t>万元相比增加33.1%，增加的主要原因是因为分局机关人员增加、办专案支出增加。</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201</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年本</w:t>
      </w:r>
      <w:r>
        <w:rPr>
          <w:rFonts w:hint="eastAsia" w:cs="黑体" w:asciiTheme="minorEastAsia" w:hAnsiTheme="minorEastAsia"/>
          <w:color w:val="000000"/>
          <w:kern w:val="0"/>
          <w:sz w:val="32"/>
          <w:szCs w:val="32"/>
          <w:lang w:eastAsia="zh-CN"/>
        </w:rPr>
        <w:t>单位</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1.57</w:t>
      </w:r>
      <w:r>
        <w:rPr>
          <w:rFonts w:hint="eastAsia" w:cs="黑体" w:asciiTheme="minorEastAsia" w:hAnsiTheme="minorEastAsia"/>
          <w:color w:val="000000"/>
          <w:kern w:val="0"/>
          <w:sz w:val="32"/>
          <w:szCs w:val="32"/>
        </w:rPr>
        <w:t>万元，用于</w:t>
      </w:r>
      <w:r>
        <w:rPr>
          <w:rFonts w:hint="eastAsia" w:cs="黑体" w:asciiTheme="minorEastAsia" w:hAnsiTheme="minorEastAsia"/>
          <w:color w:val="000000"/>
          <w:kern w:val="0"/>
          <w:sz w:val="32"/>
          <w:szCs w:val="32"/>
          <w:lang w:eastAsia="zh-CN"/>
        </w:rPr>
        <w:t>民警参加省厅、市里开展的业务学习</w:t>
      </w:r>
      <w:r>
        <w:rPr>
          <w:rFonts w:hint="eastAsia" w:cs="黑体" w:asciiTheme="minorEastAsia" w:hAnsiTheme="minorEastAsia"/>
          <w:color w:val="000000"/>
          <w:kern w:val="0"/>
          <w:sz w:val="32"/>
          <w:szCs w:val="32"/>
        </w:rPr>
        <w:t>培训</w:t>
      </w:r>
      <w:r>
        <w:rPr>
          <w:rFonts w:hint="eastAsia" w:cs="黑体" w:asciiTheme="minorEastAsia" w:hAnsiTheme="minorEastAsia"/>
          <w:color w:val="000000"/>
          <w:kern w:val="0"/>
          <w:sz w:val="32"/>
          <w:szCs w:val="32"/>
          <w:lang w:val="en-US" w:eastAsia="zh-CN"/>
        </w:rPr>
        <w:t>,人数8人；未开支会议费；未举办晚会、论坛、赛事活动。</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eastAsiaTheme="minorEastAsia"/>
          <w:i/>
          <w:color w:val="FF0000"/>
          <w:kern w:val="0"/>
          <w:sz w:val="32"/>
          <w:szCs w:val="32"/>
          <w:lang w:eastAsia="zh-CN"/>
        </w:rPr>
      </w:pPr>
      <w:r>
        <w:rPr>
          <w:rFonts w:hint="eastAsia" w:cs="黑体" w:asciiTheme="minorEastAsia" w:hAnsiTheme="minorEastAsia"/>
          <w:color w:val="000000"/>
          <w:kern w:val="0"/>
          <w:sz w:val="32"/>
          <w:szCs w:val="32"/>
        </w:rPr>
        <w:t>本部门201</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年度政府采购支出总额</w:t>
      </w:r>
      <w:r>
        <w:rPr>
          <w:rFonts w:hint="default" w:ascii="Times New Roman" w:hAnsi="Times New Roman" w:eastAsia="宋体" w:cs="Times New Roman"/>
          <w:i w:val="0"/>
          <w:iCs w:val="0"/>
          <w:caps w:val="0"/>
          <w:color w:val="333333"/>
          <w:spacing w:val="0"/>
          <w:sz w:val="30"/>
          <w:szCs w:val="30"/>
          <w:shd w:val="clear" w:fill="FFFFFF"/>
        </w:rPr>
        <w:t>274.79</w:t>
      </w:r>
      <w:r>
        <w:rPr>
          <w:rFonts w:hint="eastAsia" w:cs="黑体" w:asciiTheme="minorEastAsia" w:hAnsiTheme="minorEastAsia"/>
          <w:color w:val="000000"/>
          <w:kern w:val="0"/>
          <w:sz w:val="32"/>
          <w:szCs w:val="32"/>
        </w:rPr>
        <w:t>万元，其中：</w:t>
      </w:r>
      <w:r>
        <w:rPr>
          <w:rFonts w:hint="default" w:cs="黑体" w:asciiTheme="minorEastAsia" w:hAnsiTheme="minorEastAsia"/>
          <w:color w:val="000000"/>
          <w:kern w:val="0"/>
          <w:sz w:val="32"/>
          <w:szCs w:val="32"/>
        </w:rPr>
        <w:t>政府采购货物支出274.21万元，</w:t>
      </w:r>
      <w:r>
        <w:rPr>
          <w:rFonts w:hint="eastAsia" w:cs="黑体" w:asciiTheme="minorEastAsia" w:hAnsiTheme="minorEastAsia"/>
          <w:color w:val="000000"/>
          <w:kern w:val="0"/>
          <w:sz w:val="32"/>
          <w:szCs w:val="32"/>
        </w:rPr>
        <w:t>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0.58</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53.91</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19.62</w:t>
      </w:r>
      <w:r>
        <w:rPr>
          <w:rFonts w:hint="eastAsia" w:cs="黑体" w:asciiTheme="minorEastAsia" w:hAnsiTheme="minorEastAsia"/>
          <w:color w:val="000000"/>
          <w:kern w:val="0"/>
          <w:sz w:val="32"/>
          <w:szCs w:val="32"/>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截至2018年12月31日，本单位共有车辆10辆，其中，</w:t>
      </w:r>
      <w:r>
        <w:rPr>
          <w:rFonts w:hint="default" w:cs="黑体" w:asciiTheme="minorEastAsia" w:hAnsiTheme="minorEastAsia"/>
          <w:color w:val="000000"/>
          <w:kern w:val="0"/>
          <w:sz w:val="32"/>
          <w:szCs w:val="32"/>
          <w:lang w:val="en-US" w:eastAsia="zh-CN"/>
        </w:rPr>
        <w:t>一般公务用车1辆，一般执勤执法用车9辆</w:t>
      </w:r>
      <w:r>
        <w:rPr>
          <w:rFonts w:hint="eastAsia" w:cs="黑体" w:asciiTheme="minorEastAsia" w:hAnsiTheme="minorEastAsia"/>
          <w:color w:val="000000"/>
          <w:kern w:val="0"/>
          <w:sz w:val="32"/>
          <w:szCs w:val="32"/>
          <w:lang w:val="en-US" w:eastAsia="zh-CN"/>
        </w:rPr>
        <w:t>；单位价值50万元以上通用设备0台（套）；单位价值100万元以上专用设备0台（套）</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0"/>
        </w:num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一、</w:t>
      </w:r>
      <w:r>
        <w:rPr>
          <w:rFonts w:hint="default" w:cs="黑体" w:asciiTheme="minorEastAsia" w:hAnsiTheme="minorEastAsia"/>
          <w:color w:val="000000"/>
          <w:kern w:val="0"/>
          <w:sz w:val="32"/>
          <w:szCs w:val="32"/>
          <w:lang w:val="en-US" w:eastAsia="zh-CN"/>
        </w:rPr>
        <w:t>“三公”经费：纳入财政预算管理的“三公”经费，是指公安部门用财政拨款安排的因公出国(境)费、公务用车购置及运行费和公务接待费。</w:t>
      </w:r>
    </w:p>
    <w:p>
      <w:pPr>
        <w:numPr>
          <w:ilvl w:val="0"/>
          <w:numId w:val="0"/>
        </w:num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二、</w:t>
      </w:r>
      <w:r>
        <w:rPr>
          <w:rFonts w:hint="default" w:cs="黑体" w:asciiTheme="minorEastAsia" w:hAnsiTheme="minorEastAsia"/>
          <w:color w:val="000000"/>
          <w:kern w:val="0"/>
          <w:sz w:val="32"/>
          <w:szCs w:val="32"/>
          <w:lang w:val="en-US" w:eastAsia="zh-CN"/>
        </w:rPr>
        <w:t>机关运行经费：为保障公安部门运行用于购买货物和服务的各项资金，包括办公及印刷费、邮电费、差旅费、会议费、福利费、日常维修费、专用材料及一般设备购置费、办公用房水电费、物业管理费、公务用车运行维护费以及其他商品服务支出。</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cs="黑体" w:asciiTheme="minorEastAsia" w:hAnsiTheme="minorEastAsia" w:eastAsiaTheme="minorEastAsia"/>
          <w:b/>
          <w:color w:val="000000"/>
          <w:kern w:val="0"/>
          <w:sz w:val="80"/>
          <w:szCs w:val="80"/>
          <w:lang w:val="en-US" w:eastAsia="zh-CN" w:bidi="ar-SA"/>
        </w:rPr>
        <w:t>第五部分</w:t>
      </w:r>
    </w:p>
    <w:p>
      <w:pPr>
        <w:jc w:val="center"/>
        <w:rPr>
          <w:rFonts w:ascii="黑体" w:eastAsia="黑体" w:cs="黑体"/>
          <w:color w:val="000000"/>
          <w:kern w:val="0"/>
          <w:sz w:val="70"/>
          <w:szCs w:val="70"/>
        </w:rPr>
      </w:pPr>
      <w:r>
        <w:rPr>
          <w:rFonts w:hint="eastAsia" w:cs="黑体" w:asciiTheme="minorEastAsia" w:hAnsiTheme="minorEastAsia"/>
          <w:b/>
          <w:color w:val="000000"/>
          <w:kern w:val="0"/>
          <w:sz w:val="80"/>
          <w:szCs w:val="80"/>
        </w:rPr>
        <w:t>201</w:t>
      </w:r>
      <w:r>
        <w:rPr>
          <w:rFonts w:hint="eastAsia" w:cs="黑体" w:asciiTheme="minorEastAsia" w:hAnsiTheme="minorEastAsia"/>
          <w:b/>
          <w:color w:val="000000"/>
          <w:kern w:val="0"/>
          <w:sz w:val="80"/>
          <w:szCs w:val="80"/>
          <w:lang w:val="en-US" w:eastAsia="zh-CN"/>
        </w:rPr>
        <w:t>8</w:t>
      </w:r>
      <w:r>
        <w:rPr>
          <w:rFonts w:hint="eastAsia" w:cs="黑体" w:asciiTheme="minorEastAsia" w:hAnsiTheme="minorEastAsia"/>
          <w:b/>
          <w:color w:val="000000"/>
          <w:kern w:val="0"/>
          <w:sz w:val="80"/>
          <w:szCs w:val="80"/>
        </w:rPr>
        <w:t>年度部门整体支出绩效评价报告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rFonts w:hint="eastAsia"/>
          <w:b/>
          <w:bCs/>
          <w:sz w:val="36"/>
          <w:szCs w:val="36"/>
        </w:rPr>
      </w:pPr>
      <w:r>
        <w:rPr>
          <w:rFonts w:hint="eastAsia"/>
          <w:b/>
          <w:bCs/>
          <w:sz w:val="36"/>
          <w:szCs w:val="36"/>
        </w:rPr>
        <w:t>永州市公安局金洞分局201</w:t>
      </w:r>
      <w:r>
        <w:rPr>
          <w:rFonts w:hint="eastAsia"/>
          <w:b/>
          <w:bCs/>
          <w:sz w:val="36"/>
          <w:szCs w:val="36"/>
          <w:lang w:val="en-US" w:eastAsia="zh-CN"/>
        </w:rPr>
        <w:t>8</w:t>
      </w:r>
      <w:r>
        <w:rPr>
          <w:rFonts w:hint="eastAsia"/>
          <w:b/>
          <w:bCs/>
          <w:sz w:val="36"/>
          <w:szCs w:val="36"/>
        </w:rPr>
        <w:t>年度</w:t>
      </w:r>
    </w:p>
    <w:p>
      <w:pPr>
        <w:jc w:val="center"/>
        <w:rPr>
          <w:rFonts w:hint="eastAsia"/>
          <w:b/>
          <w:bCs/>
          <w:sz w:val="36"/>
          <w:szCs w:val="36"/>
        </w:rPr>
      </w:pPr>
      <w:r>
        <w:rPr>
          <w:rFonts w:hint="eastAsia"/>
          <w:b/>
          <w:bCs/>
          <w:sz w:val="36"/>
          <w:szCs w:val="36"/>
        </w:rPr>
        <w:t>整体支出绩效自评报告</w:t>
      </w:r>
    </w:p>
    <w:p>
      <w:pPr>
        <w:numPr>
          <w:ilvl w:val="0"/>
          <w:numId w:val="0"/>
        </w:numPr>
        <w:adjustRightInd w:val="0"/>
        <w:snapToGrid w:val="0"/>
        <w:spacing w:line="600" w:lineRule="exact"/>
        <w:ind w:firstLine="560" w:firstLineChars="200"/>
        <w:rPr>
          <w:rFonts w:hint="eastAsia" w:ascii="仿宋_GB2312" w:hAnsi="宋体" w:eastAsia="仿宋_GB2312" w:cs="Times New Roman"/>
          <w:color w:val="000000"/>
          <w:sz w:val="28"/>
          <w:szCs w:val="28"/>
          <w:lang w:eastAsia="zh-CN"/>
        </w:rPr>
      </w:pPr>
      <w:r>
        <w:rPr>
          <w:rFonts w:hint="eastAsia" w:ascii="仿宋_GB2312" w:hAnsi="宋体" w:eastAsia="仿宋_GB2312" w:cs="Times New Roman"/>
          <w:color w:val="000000"/>
          <w:sz w:val="28"/>
          <w:szCs w:val="28"/>
          <w:lang w:eastAsia="zh-CN"/>
        </w:rPr>
        <w:t>我局根据《关于报送2019年预算绩效目标和2018年度部门预算绩效自评报告的通知》（永财绩〔</w:t>
      </w:r>
      <w:r>
        <w:rPr>
          <w:rFonts w:hint="eastAsia" w:ascii="仿宋_GB2312" w:hAnsi="宋体" w:eastAsia="仿宋_GB2312" w:cs="Times New Roman"/>
          <w:color w:val="000000"/>
          <w:sz w:val="28"/>
          <w:szCs w:val="28"/>
          <w:lang w:val="en-US" w:eastAsia="zh-CN"/>
        </w:rPr>
        <w:t>2019</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28"/>
          <w:szCs w:val="28"/>
          <w:lang w:val="en-US" w:eastAsia="zh-CN"/>
        </w:rPr>
        <w:t>1号</w:t>
      </w:r>
      <w:r>
        <w:rPr>
          <w:rFonts w:hint="eastAsia" w:ascii="仿宋_GB2312" w:hAnsi="宋体" w:eastAsia="仿宋_GB2312" w:cs="Times New Roman"/>
          <w:color w:val="000000"/>
          <w:sz w:val="28"/>
          <w:szCs w:val="28"/>
          <w:lang w:eastAsia="zh-CN"/>
        </w:rPr>
        <w:t>）精神，强化绩效理念，提高财政资金使用效益，现就开展</w:t>
      </w:r>
      <w:r>
        <w:rPr>
          <w:rFonts w:hint="eastAsia" w:ascii="仿宋_GB2312" w:hAnsi="宋体" w:eastAsia="仿宋_GB2312" w:cs="Times New Roman"/>
          <w:color w:val="000000"/>
          <w:sz w:val="28"/>
          <w:szCs w:val="28"/>
          <w:lang w:val="en-US" w:eastAsia="zh-CN"/>
        </w:rPr>
        <w:t>2018年财政支出绩效自评作如下分析：</w:t>
      </w:r>
    </w:p>
    <w:p>
      <w:pPr>
        <w:numPr>
          <w:ilvl w:val="0"/>
          <w:numId w:val="0"/>
        </w:numPr>
        <w:adjustRightInd w:val="0"/>
        <w:snapToGrid w:val="0"/>
        <w:spacing w:line="600" w:lineRule="exact"/>
        <w:rPr>
          <w:rFonts w:hint="eastAsia" w:ascii="仿宋_GB2312" w:hAnsi="宋体" w:eastAsia="仿宋_GB2312"/>
          <w:b/>
          <w:bCs/>
          <w:color w:val="000000"/>
          <w:sz w:val="30"/>
          <w:szCs w:val="30"/>
          <w:lang w:eastAsia="zh-CN"/>
        </w:rPr>
      </w:pPr>
      <w:r>
        <w:rPr>
          <w:rFonts w:hint="eastAsia" w:ascii="仿宋_GB2312" w:hAnsi="宋体" w:eastAsia="仿宋_GB2312"/>
          <w:b/>
          <w:bCs/>
          <w:color w:val="000000"/>
          <w:sz w:val="30"/>
          <w:szCs w:val="30"/>
          <w:lang w:eastAsia="zh-CN"/>
        </w:rPr>
        <w:t>一、绩效评价得分情况分析</w:t>
      </w:r>
    </w:p>
    <w:p>
      <w:pPr>
        <w:numPr>
          <w:ilvl w:val="0"/>
          <w:numId w:val="0"/>
        </w:numPr>
        <w:adjustRightInd w:val="0"/>
        <w:snapToGrid w:val="0"/>
        <w:spacing w:line="60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根据部门整体支出绩效评价指标规定的内容，经我单位认真自评，</w:t>
      </w:r>
      <w:r>
        <w:rPr>
          <w:rFonts w:hint="eastAsia" w:ascii="仿宋_GB2312" w:hAnsi="宋体" w:eastAsia="仿宋_GB2312"/>
          <w:color w:val="000000"/>
          <w:sz w:val="28"/>
          <w:szCs w:val="28"/>
          <w:lang w:val="en-US" w:eastAsia="zh-CN"/>
        </w:rPr>
        <w:t>2018</w:t>
      </w:r>
      <w:r>
        <w:rPr>
          <w:rFonts w:hint="eastAsia" w:ascii="仿宋_GB2312" w:hAnsi="宋体" w:eastAsia="仿宋_GB2312"/>
          <w:color w:val="000000"/>
          <w:sz w:val="28"/>
          <w:szCs w:val="28"/>
          <w:lang w:eastAsia="zh-CN"/>
        </w:rPr>
        <w:t>年度部门整体绩效评价得分为</w:t>
      </w:r>
      <w:r>
        <w:rPr>
          <w:rFonts w:hint="eastAsia" w:ascii="仿宋_GB2312" w:hAnsi="宋体" w:eastAsia="仿宋_GB2312"/>
          <w:color w:val="000000"/>
          <w:sz w:val="28"/>
          <w:szCs w:val="28"/>
          <w:lang w:val="en-US" w:eastAsia="zh-CN"/>
        </w:rPr>
        <w:t>88</w:t>
      </w:r>
      <w:r>
        <w:rPr>
          <w:rFonts w:hint="eastAsia" w:ascii="仿宋_GB2312" w:hAnsi="宋体" w:eastAsia="仿宋_GB2312"/>
          <w:color w:val="000000"/>
          <w:sz w:val="28"/>
          <w:szCs w:val="28"/>
          <w:lang w:eastAsia="zh-CN"/>
        </w:rPr>
        <w:t>分，自评结果：良好。</w:t>
      </w:r>
    </w:p>
    <w:p>
      <w:pPr>
        <w:adjustRightInd w:val="0"/>
        <w:snapToGrid w:val="0"/>
        <w:spacing w:line="600" w:lineRule="exact"/>
        <w:rPr>
          <w:rFonts w:hint="eastAsia" w:ascii="仿宋_GB2312" w:hAnsi="宋体" w:eastAsia="仿宋_GB2312"/>
          <w:b/>
          <w:bCs/>
          <w:color w:val="000000"/>
          <w:sz w:val="30"/>
          <w:szCs w:val="30"/>
          <w:lang w:eastAsia="zh-CN"/>
        </w:rPr>
      </w:pPr>
      <w:r>
        <w:rPr>
          <w:rFonts w:hint="eastAsia" w:ascii="仿宋_GB2312" w:hAnsi="宋体" w:eastAsia="仿宋_GB2312"/>
          <w:b/>
          <w:bCs/>
          <w:color w:val="000000"/>
          <w:sz w:val="30"/>
          <w:szCs w:val="30"/>
          <w:lang w:eastAsia="zh-CN"/>
        </w:rPr>
        <w:t>二、部门职能</w:t>
      </w:r>
    </w:p>
    <w:p>
      <w:pPr>
        <w:adjustRightInd w:val="0"/>
        <w:snapToGri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依据《中华人民共和国宪法》、《人民警察法》、《刑法》、《治安管理处罚法》等法律法规，我局承担着维护国家安全，维护社会治安，保护公民的人身安全、人身自由和合法财产，保护公共财产，预防、制止和惩治违法犯罪活动，管理社会秩序，掌握、分析、研究敌情和社会治安状况，维护社会稳定，保障人民群众的安居乐业和社会主义现代化建设事业的顺利进行的职能。</w:t>
      </w:r>
    </w:p>
    <w:p>
      <w:pPr>
        <w:adjustRightInd w:val="0"/>
        <w:snapToGrid w:val="0"/>
        <w:spacing w:line="600" w:lineRule="exact"/>
        <w:rPr>
          <w:rFonts w:hint="eastAsia" w:ascii="仿宋_GB2312" w:hAnsi="宋体" w:eastAsia="仿宋_GB2312"/>
          <w:b/>
          <w:bCs/>
          <w:color w:val="000000"/>
          <w:sz w:val="30"/>
          <w:szCs w:val="30"/>
          <w:lang w:eastAsia="zh-CN"/>
        </w:rPr>
      </w:pPr>
      <w:r>
        <w:rPr>
          <w:rFonts w:hint="eastAsia" w:ascii="仿宋_GB2312" w:hAnsi="宋体" w:eastAsia="仿宋_GB2312"/>
          <w:b/>
          <w:bCs/>
          <w:color w:val="000000"/>
          <w:sz w:val="30"/>
          <w:szCs w:val="30"/>
          <w:lang w:eastAsia="zh-CN"/>
        </w:rPr>
        <w:t>三、部门基本情况及预算安排、执行情况分析</w:t>
      </w:r>
    </w:p>
    <w:p>
      <w:pPr>
        <w:adjustRightInd w:val="0"/>
        <w:snapToGrid w:val="0"/>
        <w:spacing w:line="600" w:lineRule="exact"/>
        <w:ind w:firstLine="560"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lang w:eastAsia="zh-CN"/>
        </w:rPr>
        <w:t>（一）</w:t>
      </w:r>
      <w:r>
        <w:rPr>
          <w:rFonts w:hint="eastAsia" w:ascii="仿宋_GB2312" w:hAnsi="宋体" w:eastAsia="仿宋_GB2312"/>
          <w:b/>
          <w:bCs/>
          <w:color w:val="000000"/>
          <w:sz w:val="28"/>
          <w:szCs w:val="28"/>
        </w:rPr>
        <w:t>部门机构设置和人员、车辆编制</w:t>
      </w:r>
    </w:p>
    <w:p>
      <w:pPr>
        <w:adjustRightInd w:val="0"/>
        <w:snapToGrid w:val="0"/>
        <w:spacing w:line="600" w:lineRule="exact"/>
        <w:ind w:firstLine="560" w:firstLineChars="200"/>
        <w:rPr>
          <w:rFonts w:hint="eastAsia" w:ascii="仿宋_GB2312" w:hAnsi="宋体" w:eastAsia="仿宋_GB2312"/>
          <w:b/>
          <w:bCs/>
          <w:color w:val="000000"/>
          <w:sz w:val="28"/>
          <w:szCs w:val="28"/>
          <w:lang w:val="en-US" w:eastAsia="zh-CN"/>
        </w:rPr>
      </w:pPr>
      <w:r>
        <w:rPr>
          <w:rFonts w:hint="eastAsia" w:ascii="仿宋_GB2312" w:hAnsi="宋体" w:eastAsia="仿宋_GB2312"/>
          <w:color w:val="000000"/>
          <w:sz w:val="28"/>
          <w:szCs w:val="28"/>
          <w:lang w:eastAsia="zh-CN"/>
        </w:rPr>
        <w:t>金洞公安分局为正科级单位，是永州市公安局直属分局，部门机构设置和人员、车辆编制根据省编办、省公安厅《关于设立永州市公安局金洞分局的通知》（湘编办[2010]88号）和市编办《永州市公安局金洞分局主要职责、内设机构和人员编制规定》文件精神，结合分局实际，编制核定如下：内设机构</w:t>
      </w:r>
      <w:r>
        <w:rPr>
          <w:rFonts w:hint="eastAsia" w:ascii="仿宋_GB2312" w:hAnsi="宋体" w:eastAsia="仿宋_GB2312"/>
          <w:color w:val="000000"/>
          <w:sz w:val="28"/>
          <w:szCs w:val="28"/>
          <w:lang w:val="en-US" w:eastAsia="zh-CN"/>
        </w:rPr>
        <w:t>7</w:t>
      </w:r>
      <w:r>
        <w:rPr>
          <w:rFonts w:hint="eastAsia" w:ascii="仿宋_GB2312" w:hAnsi="宋体" w:eastAsia="仿宋_GB2312"/>
          <w:color w:val="000000"/>
          <w:sz w:val="28"/>
          <w:szCs w:val="28"/>
          <w:lang w:eastAsia="zh-CN"/>
        </w:rPr>
        <w:t>个，包括指挥中心，刑侦大队，治安大队，森保大队，人口大队，法制网监室，政工纪检室；派出所七个（两个未运行），包括金洞派出所，小金洞派出所，晒北滩派出所，石鼓源派出所（石鼓源派出所和上司源派出所合属办公），凤凰派出所（白果市派出所与凤凰派出所合属办公）。201</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lang w:eastAsia="zh-CN"/>
        </w:rPr>
        <w:t>年12月工资发放人员5</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lang w:eastAsia="zh-CN"/>
        </w:rPr>
        <w:t>人，退休人员</w:t>
      </w:r>
      <w:r>
        <w:rPr>
          <w:rFonts w:hint="eastAsia" w:ascii="仿宋_GB2312" w:hAnsi="宋体" w:eastAsia="仿宋_GB2312"/>
          <w:color w:val="000000"/>
          <w:sz w:val="28"/>
          <w:szCs w:val="28"/>
          <w:lang w:val="en-US" w:eastAsia="zh-CN"/>
        </w:rPr>
        <w:t>9</w:t>
      </w:r>
      <w:r>
        <w:rPr>
          <w:rFonts w:hint="eastAsia" w:ascii="仿宋_GB2312" w:hAnsi="宋体" w:eastAsia="仿宋_GB2312"/>
          <w:color w:val="000000"/>
          <w:sz w:val="28"/>
          <w:szCs w:val="28"/>
          <w:lang w:eastAsia="zh-CN"/>
        </w:rPr>
        <w:t>人，合计</w:t>
      </w:r>
      <w:r>
        <w:rPr>
          <w:rFonts w:hint="eastAsia" w:ascii="仿宋_GB2312" w:hAnsi="宋体" w:eastAsia="仿宋_GB2312"/>
          <w:color w:val="000000"/>
          <w:sz w:val="28"/>
          <w:szCs w:val="28"/>
          <w:lang w:val="en-US" w:eastAsia="zh-CN"/>
        </w:rPr>
        <w:t>65</w:t>
      </w:r>
      <w:r>
        <w:rPr>
          <w:rFonts w:hint="eastAsia" w:ascii="仿宋_GB2312" w:hAnsi="宋体" w:eastAsia="仿宋_GB2312"/>
          <w:color w:val="000000"/>
          <w:sz w:val="28"/>
          <w:szCs w:val="28"/>
          <w:lang w:eastAsia="zh-CN"/>
        </w:rPr>
        <w:t>人，另有临聘人员2</w:t>
      </w:r>
      <w:r>
        <w:rPr>
          <w:rFonts w:hint="eastAsia" w:ascii="仿宋_GB2312" w:hAnsi="宋体" w:eastAsia="仿宋_GB2312"/>
          <w:color w:val="000000"/>
          <w:sz w:val="28"/>
          <w:szCs w:val="28"/>
          <w:lang w:val="en-US" w:eastAsia="zh-CN"/>
        </w:rPr>
        <w:t>4</w:t>
      </w:r>
      <w:r>
        <w:rPr>
          <w:rFonts w:hint="eastAsia" w:ascii="仿宋_GB2312" w:hAnsi="宋体" w:eastAsia="仿宋_GB2312"/>
          <w:color w:val="000000"/>
          <w:sz w:val="28"/>
          <w:szCs w:val="28"/>
          <w:lang w:eastAsia="zh-CN"/>
        </w:rPr>
        <w:t>人（其中协警1</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lang w:eastAsia="zh-CN"/>
        </w:rPr>
        <w:t>人）。车辆编制</w:t>
      </w:r>
      <w:r>
        <w:rPr>
          <w:rFonts w:hint="eastAsia" w:ascii="仿宋_GB2312" w:hAnsi="宋体" w:eastAsia="仿宋_GB2312"/>
          <w:color w:val="000000"/>
          <w:sz w:val="28"/>
          <w:szCs w:val="28"/>
          <w:lang w:val="en-US" w:eastAsia="zh-CN"/>
        </w:rPr>
        <w:t>10</w:t>
      </w:r>
      <w:r>
        <w:rPr>
          <w:rFonts w:hint="eastAsia" w:ascii="仿宋_GB2312" w:hAnsi="宋体" w:eastAsia="仿宋_GB2312"/>
          <w:color w:val="000000"/>
          <w:sz w:val="28"/>
          <w:szCs w:val="28"/>
          <w:lang w:eastAsia="zh-CN"/>
        </w:rPr>
        <w:t>台，实有车辆10台。</w:t>
      </w:r>
    </w:p>
    <w:p>
      <w:pPr>
        <w:adjustRightInd w:val="0"/>
        <w:snapToGrid w:val="0"/>
        <w:spacing w:line="600" w:lineRule="exact"/>
        <w:ind w:firstLine="560"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lang w:eastAsia="zh-CN"/>
        </w:rPr>
        <w:t>（二）</w:t>
      </w:r>
      <w:r>
        <w:rPr>
          <w:rFonts w:hint="eastAsia" w:ascii="仿宋_GB2312" w:hAnsi="宋体" w:eastAsia="仿宋_GB2312"/>
          <w:b/>
          <w:bCs/>
          <w:color w:val="000000"/>
          <w:sz w:val="28"/>
          <w:szCs w:val="28"/>
        </w:rPr>
        <w:t>201</w:t>
      </w:r>
      <w:r>
        <w:rPr>
          <w:rFonts w:hint="eastAsia" w:ascii="仿宋_GB2312" w:hAnsi="宋体" w:eastAsia="仿宋_GB2312"/>
          <w:b/>
          <w:bCs/>
          <w:color w:val="000000"/>
          <w:sz w:val="28"/>
          <w:szCs w:val="28"/>
          <w:lang w:val="en-US" w:eastAsia="zh-CN"/>
        </w:rPr>
        <w:t>8</w:t>
      </w:r>
      <w:r>
        <w:rPr>
          <w:rFonts w:hint="eastAsia" w:ascii="仿宋_GB2312" w:hAnsi="宋体" w:eastAsia="仿宋_GB2312"/>
          <w:b/>
          <w:bCs/>
          <w:color w:val="000000"/>
          <w:sz w:val="28"/>
          <w:szCs w:val="28"/>
        </w:rPr>
        <w:t>年预算安排及执行情况分析</w:t>
      </w:r>
    </w:p>
    <w:p>
      <w:pPr>
        <w:adjustRightInd w:val="0"/>
        <w:snapToGri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201</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年预算安排收入总计</w:t>
      </w:r>
      <w:r>
        <w:rPr>
          <w:rFonts w:hint="eastAsia" w:ascii="仿宋_GB2312" w:hAnsi="宋体" w:eastAsia="仿宋_GB2312"/>
          <w:color w:val="000000"/>
          <w:sz w:val="28"/>
          <w:szCs w:val="28"/>
          <w:lang w:val="en-US" w:eastAsia="zh-CN"/>
        </w:rPr>
        <w:t>1062.20</w:t>
      </w:r>
      <w:r>
        <w:rPr>
          <w:rFonts w:hint="eastAsia" w:ascii="仿宋_GB2312" w:hAnsi="宋体" w:eastAsia="仿宋_GB2312"/>
          <w:color w:val="000000"/>
          <w:sz w:val="28"/>
          <w:szCs w:val="28"/>
        </w:rPr>
        <w:t>万元，其中正常经费拨入</w:t>
      </w:r>
      <w:r>
        <w:rPr>
          <w:rFonts w:hint="eastAsia" w:ascii="仿宋_GB2312" w:hAnsi="宋体" w:eastAsia="仿宋_GB2312"/>
          <w:color w:val="000000"/>
          <w:sz w:val="28"/>
          <w:szCs w:val="28"/>
          <w:lang w:val="en-US" w:eastAsia="zh-CN"/>
        </w:rPr>
        <w:t>827.20</w:t>
      </w:r>
      <w:r>
        <w:rPr>
          <w:rFonts w:hint="eastAsia" w:ascii="仿宋_GB2312" w:hAnsi="宋体" w:eastAsia="仿宋_GB2312"/>
          <w:color w:val="000000"/>
          <w:sz w:val="28"/>
          <w:szCs w:val="28"/>
        </w:rPr>
        <w:t>万元，专项拨入</w:t>
      </w:r>
      <w:r>
        <w:rPr>
          <w:rFonts w:hint="eastAsia" w:ascii="仿宋_GB2312" w:hAnsi="宋体" w:eastAsia="仿宋_GB2312"/>
          <w:color w:val="000000"/>
          <w:sz w:val="28"/>
          <w:szCs w:val="28"/>
          <w:lang w:val="en-US" w:eastAsia="zh-CN"/>
        </w:rPr>
        <w:t>235</w:t>
      </w:r>
      <w:r>
        <w:rPr>
          <w:rFonts w:hint="eastAsia" w:ascii="仿宋_GB2312" w:hAnsi="宋体" w:eastAsia="仿宋_GB2312"/>
          <w:color w:val="000000"/>
          <w:sz w:val="28"/>
          <w:szCs w:val="28"/>
        </w:rPr>
        <w:t>万元（含非税收入成本</w:t>
      </w:r>
      <w:r>
        <w:rPr>
          <w:rFonts w:hint="eastAsia" w:ascii="仿宋_GB2312" w:hAnsi="宋体" w:eastAsia="仿宋_GB2312"/>
          <w:color w:val="000000"/>
          <w:sz w:val="28"/>
          <w:szCs w:val="28"/>
          <w:lang w:val="en-US" w:eastAsia="zh-CN"/>
        </w:rPr>
        <w:t>12</w:t>
      </w:r>
      <w:r>
        <w:rPr>
          <w:rFonts w:hint="eastAsia" w:ascii="仿宋_GB2312" w:hAnsi="宋体" w:eastAsia="仿宋_GB2312"/>
          <w:color w:val="000000"/>
          <w:sz w:val="28"/>
          <w:szCs w:val="28"/>
        </w:rPr>
        <w:t>万元、中央转移支付</w:t>
      </w:r>
      <w:r>
        <w:rPr>
          <w:rFonts w:hint="eastAsia" w:ascii="仿宋_GB2312" w:hAnsi="宋体" w:eastAsia="仿宋_GB2312"/>
          <w:color w:val="000000"/>
          <w:sz w:val="28"/>
          <w:szCs w:val="28"/>
          <w:lang w:val="en-US" w:eastAsia="zh-CN"/>
        </w:rPr>
        <w:t>223</w:t>
      </w:r>
      <w:r>
        <w:rPr>
          <w:rFonts w:hint="eastAsia" w:ascii="仿宋_GB2312" w:hAnsi="宋体" w:eastAsia="仿宋_GB2312"/>
          <w:color w:val="000000"/>
          <w:sz w:val="28"/>
          <w:szCs w:val="28"/>
        </w:rPr>
        <w:t>万元）。</w:t>
      </w:r>
    </w:p>
    <w:p>
      <w:pPr>
        <w:adjustRightInd w:val="0"/>
        <w:snapToGri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我局201</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 xml:space="preserve">年实际收入 </w:t>
      </w:r>
      <w:r>
        <w:rPr>
          <w:rFonts w:hint="eastAsia" w:ascii="仿宋_GB2312" w:hAnsi="宋体" w:eastAsia="仿宋_GB2312"/>
          <w:color w:val="000000"/>
          <w:sz w:val="28"/>
          <w:szCs w:val="28"/>
          <w:lang w:val="en-US" w:eastAsia="zh-CN"/>
        </w:rPr>
        <w:t>1445.74</w:t>
      </w:r>
      <w:r>
        <w:rPr>
          <w:rFonts w:hint="eastAsia" w:ascii="仿宋_GB2312" w:hAnsi="宋体" w:eastAsia="仿宋_GB2312"/>
          <w:color w:val="000000"/>
          <w:sz w:val="28"/>
          <w:szCs w:val="28"/>
        </w:rPr>
        <w:t>万元</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支出</w:t>
      </w:r>
      <w:r>
        <w:rPr>
          <w:rFonts w:hint="eastAsia" w:ascii="仿宋_GB2312" w:hAnsi="宋体" w:eastAsia="仿宋_GB2312"/>
          <w:color w:val="000000"/>
          <w:sz w:val="28"/>
          <w:szCs w:val="28"/>
          <w:lang w:val="en-US" w:eastAsia="zh-CN"/>
        </w:rPr>
        <w:t>1778.49</w:t>
      </w:r>
      <w:r>
        <w:rPr>
          <w:rFonts w:hint="eastAsia" w:ascii="仿宋_GB2312" w:hAnsi="宋体" w:eastAsia="仿宋_GB2312"/>
          <w:color w:val="000000"/>
          <w:sz w:val="28"/>
          <w:szCs w:val="28"/>
        </w:rPr>
        <w:t>万元。收支结余</w:t>
      </w:r>
      <w:r>
        <w:rPr>
          <w:rFonts w:hint="eastAsia" w:ascii="仿宋_GB2312" w:hAnsi="宋体" w:eastAsia="仿宋_GB2312"/>
          <w:color w:val="000000"/>
          <w:sz w:val="28"/>
          <w:szCs w:val="28"/>
          <w:lang w:val="en-US" w:eastAsia="zh-CN"/>
        </w:rPr>
        <w:t>-332.75</w:t>
      </w:r>
      <w:r>
        <w:rPr>
          <w:rFonts w:hint="eastAsia" w:ascii="仿宋_GB2312" w:hAnsi="宋体" w:eastAsia="仿宋_GB2312"/>
          <w:color w:val="000000"/>
          <w:sz w:val="28"/>
          <w:szCs w:val="28"/>
        </w:rPr>
        <w:t>万元。</w:t>
      </w:r>
    </w:p>
    <w:p>
      <w:pPr>
        <w:adjustRightInd w:val="0"/>
        <w:snapToGrid w:val="0"/>
        <w:spacing w:line="600" w:lineRule="exact"/>
        <w:ind w:firstLine="560"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lang w:eastAsia="zh-CN"/>
        </w:rPr>
        <w:t>（三）</w:t>
      </w:r>
      <w:r>
        <w:rPr>
          <w:rFonts w:hint="eastAsia" w:ascii="仿宋_GB2312" w:hAnsi="宋体" w:eastAsia="仿宋_GB2312"/>
          <w:b/>
          <w:bCs/>
          <w:color w:val="000000"/>
          <w:sz w:val="28"/>
          <w:szCs w:val="28"/>
        </w:rPr>
        <w:t>部门整体支出情况</w:t>
      </w:r>
    </w:p>
    <w:p>
      <w:pPr>
        <w:adjustRightInd w:val="0"/>
        <w:snapToGri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201</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年决算总支出</w:t>
      </w:r>
      <w:r>
        <w:rPr>
          <w:rFonts w:hint="eastAsia" w:ascii="仿宋_GB2312" w:hAnsi="宋体" w:eastAsia="仿宋_GB2312"/>
          <w:color w:val="000000"/>
          <w:sz w:val="28"/>
          <w:szCs w:val="28"/>
          <w:lang w:val="en-US" w:eastAsia="zh-CN"/>
        </w:rPr>
        <w:t>1778.49</w:t>
      </w:r>
      <w:r>
        <w:rPr>
          <w:rFonts w:hint="eastAsia" w:ascii="仿宋_GB2312" w:hAnsi="宋体" w:eastAsia="仿宋_GB2312"/>
          <w:color w:val="000000"/>
          <w:sz w:val="28"/>
          <w:szCs w:val="28"/>
        </w:rPr>
        <w:t xml:space="preserve"> 万元，</w:t>
      </w:r>
      <w:r>
        <w:rPr>
          <w:rFonts w:hint="eastAsia" w:ascii="仿宋_GB2312" w:hAnsi="宋体" w:eastAsia="仿宋_GB2312"/>
          <w:color w:val="000000"/>
          <w:sz w:val="28"/>
          <w:szCs w:val="28"/>
          <w:lang w:eastAsia="zh-CN"/>
        </w:rPr>
        <w:t>其中</w:t>
      </w:r>
      <w:r>
        <w:rPr>
          <w:rFonts w:hint="eastAsia" w:ascii="仿宋_GB2312" w:hAnsi="宋体" w:eastAsia="仿宋_GB2312"/>
          <w:color w:val="000000"/>
          <w:sz w:val="28"/>
          <w:szCs w:val="28"/>
        </w:rPr>
        <w:t>基本支出</w:t>
      </w:r>
      <w:r>
        <w:rPr>
          <w:rFonts w:hint="eastAsia" w:ascii="仿宋_GB2312" w:hAnsi="宋体" w:eastAsia="仿宋_GB2312"/>
          <w:color w:val="000000"/>
          <w:sz w:val="28"/>
          <w:szCs w:val="28"/>
          <w:lang w:val="en-US" w:eastAsia="zh-CN"/>
        </w:rPr>
        <w:t>1220.65万元</w:t>
      </w:r>
      <w:r>
        <w:rPr>
          <w:rFonts w:hint="eastAsia" w:ascii="仿宋_GB2312" w:hAnsi="宋体" w:eastAsia="仿宋_GB2312"/>
          <w:color w:val="000000"/>
          <w:sz w:val="28"/>
          <w:szCs w:val="28"/>
        </w:rPr>
        <w:t>。支出方向为工资福利支出和一般商品和服务支出。其中工资福利支出</w:t>
      </w:r>
      <w:r>
        <w:rPr>
          <w:rFonts w:hint="eastAsia" w:ascii="仿宋_GB2312" w:hAnsi="宋体" w:eastAsia="仿宋_GB2312"/>
          <w:color w:val="000000"/>
          <w:sz w:val="28"/>
          <w:szCs w:val="28"/>
          <w:lang w:val="en-US" w:eastAsia="zh-CN"/>
        </w:rPr>
        <w:t>1013.41</w:t>
      </w:r>
      <w:r>
        <w:rPr>
          <w:rFonts w:hint="eastAsia" w:ascii="仿宋_GB2312" w:hAnsi="宋体" w:eastAsia="仿宋_GB2312"/>
          <w:color w:val="000000"/>
          <w:sz w:val="28"/>
          <w:szCs w:val="28"/>
        </w:rPr>
        <w:t>万元，一般商品和服务支出</w:t>
      </w:r>
      <w:r>
        <w:rPr>
          <w:rFonts w:hint="eastAsia" w:ascii="仿宋_GB2312" w:hAnsi="宋体" w:eastAsia="仿宋_GB2312"/>
          <w:color w:val="000000"/>
          <w:sz w:val="28"/>
          <w:szCs w:val="28"/>
          <w:lang w:val="en-US" w:eastAsia="zh-CN"/>
        </w:rPr>
        <w:t>164.27</w:t>
      </w:r>
      <w:r>
        <w:rPr>
          <w:rFonts w:hint="eastAsia" w:ascii="仿宋_GB2312" w:hAnsi="宋体" w:eastAsia="仿宋_GB2312"/>
          <w:color w:val="000000"/>
          <w:sz w:val="28"/>
          <w:szCs w:val="28"/>
        </w:rPr>
        <w:t>万元，对家庭和个人的补助支出</w:t>
      </w:r>
      <w:r>
        <w:rPr>
          <w:rFonts w:hint="eastAsia" w:ascii="仿宋_GB2312" w:hAnsi="宋体" w:eastAsia="仿宋_GB2312"/>
          <w:color w:val="000000"/>
          <w:sz w:val="28"/>
          <w:szCs w:val="28"/>
          <w:lang w:val="en-US" w:eastAsia="zh-CN"/>
        </w:rPr>
        <w:t>42.97</w:t>
      </w:r>
      <w:r>
        <w:rPr>
          <w:rFonts w:hint="eastAsia" w:ascii="仿宋_GB2312" w:hAnsi="宋体" w:eastAsia="仿宋_GB2312"/>
          <w:color w:val="000000"/>
          <w:sz w:val="28"/>
          <w:szCs w:val="28"/>
        </w:rPr>
        <w:t>万元。</w:t>
      </w:r>
    </w:p>
    <w:p>
      <w:pPr>
        <w:adjustRightInd w:val="0"/>
        <w:snapToGrid w:val="0"/>
        <w:spacing w:line="600" w:lineRule="exact"/>
        <w:ind w:firstLine="560" w:firstLineChars="200"/>
        <w:rPr>
          <w:rFonts w:hint="eastAsia" w:ascii="仿宋_GB2312" w:eastAsia="仿宋_GB2312"/>
          <w:sz w:val="28"/>
          <w:szCs w:val="28"/>
        </w:rPr>
      </w:pPr>
      <w:r>
        <w:rPr>
          <w:rFonts w:hint="eastAsia" w:ascii="仿宋_GB2312" w:hAnsi="宋体" w:eastAsia="仿宋_GB2312"/>
          <w:color w:val="000000"/>
          <w:sz w:val="28"/>
          <w:szCs w:val="28"/>
        </w:rPr>
        <w:t>通过严格的经费管理，我局</w:t>
      </w:r>
      <w:r>
        <w:rPr>
          <w:rFonts w:hint="eastAsia" w:ascii="仿宋_GB2312" w:hAnsi="宋体" w:eastAsia="仿宋_GB2312"/>
          <w:color w:val="000000"/>
          <w:sz w:val="28"/>
          <w:szCs w:val="28"/>
          <w:lang w:val="en-US" w:eastAsia="zh-CN"/>
        </w:rPr>
        <w:t>2017</w:t>
      </w:r>
      <w:r>
        <w:rPr>
          <w:rFonts w:hint="eastAsia" w:ascii="仿宋_GB2312" w:hAnsi="宋体" w:eastAsia="仿宋_GB2312"/>
          <w:color w:val="000000"/>
          <w:sz w:val="28"/>
          <w:szCs w:val="28"/>
        </w:rPr>
        <w:t>年</w:t>
      </w:r>
      <w:r>
        <w:rPr>
          <w:rFonts w:hint="eastAsia" w:ascii="仿宋_GB2312" w:eastAsia="仿宋_GB2312"/>
          <w:sz w:val="28"/>
          <w:szCs w:val="28"/>
        </w:rPr>
        <w:t>公务接待费支出</w:t>
      </w:r>
      <w:r>
        <w:rPr>
          <w:rFonts w:hint="eastAsia" w:ascii="仿宋_GB2312" w:eastAsia="仿宋_GB2312"/>
          <w:sz w:val="28"/>
          <w:szCs w:val="28"/>
          <w:lang w:val="en-US" w:eastAsia="zh-CN"/>
        </w:rPr>
        <w:t>2.97</w:t>
      </w:r>
      <w:r>
        <w:rPr>
          <w:rFonts w:hint="eastAsia" w:ascii="仿宋_GB2312" w:eastAsia="仿宋_GB2312"/>
          <w:sz w:val="28"/>
          <w:szCs w:val="28"/>
        </w:rPr>
        <w:t>万元（预算3</w:t>
      </w:r>
      <w:r>
        <w:rPr>
          <w:rFonts w:hint="eastAsia" w:ascii="仿宋_GB2312" w:eastAsia="仿宋_GB2312"/>
          <w:sz w:val="28"/>
          <w:szCs w:val="28"/>
          <w:lang w:val="en-US" w:eastAsia="zh-CN"/>
        </w:rPr>
        <w:t>5</w:t>
      </w:r>
      <w:r>
        <w:rPr>
          <w:rFonts w:hint="eastAsia" w:ascii="仿宋_GB2312" w:eastAsia="仿宋_GB2312"/>
          <w:sz w:val="28"/>
          <w:szCs w:val="28"/>
        </w:rPr>
        <w:t>万元），公务用车运行维护费</w:t>
      </w:r>
      <w:r>
        <w:rPr>
          <w:rFonts w:hint="eastAsia" w:ascii="仿宋_GB2312" w:eastAsia="仿宋_GB2312"/>
          <w:sz w:val="28"/>
          <w:szCs w:val="28"/>
          <w:lang w:eastAsia="zh-CN"/>
        </w:rPr>
        <w:t>及公务用车购置</w:t>
      </w:r>
      <w:r>
        <w:rPr>
          <w:rFonts w:hint="eastAsia" w:ascii="仿宋_GB2312" w:eastAsia="仿宋_GB2312"/>
          <w:sz w:val="28"/>
          <w:szCs w:val="28"/>
        </w:rPr>
        <w:t>支出</w:t>
      </w:r>
      <w:r>
        <w:rPr>
          <w:rFonts w:hint="eastAsia" w:ascii="仿宋_GB2312" w:eastAsia="仿宋_GB2312"/>
          <w:sz w:val="28"/>
          <w:szCs w:val="28"/>
          <w:lang w:val="en-US" w:eastAsia="zh-CN"/>
        </w:rPr>
        <w:t>50.16</w:t>
      </w:r>
      <w:r>
        <w:rPr>
          <w:rFonts w:hint="eastAsia" w:ascii="仿宋_GB2312" w:eastAsia="仿宋_GB2312"/>
          <w:sz w:val="28"/>
          <w:szCs w:val="28"/>
        </w:rPr>
        <w:t>万元（预算</w:t>
      </w:r>
      <w:r>
        <w:rPr>
          <w:rFonts w:hint="eastAsia" w:ascii="仿宋_GB2312" w:eastAsia="仿宋_GB2312"/>
          <w:sz w:val="28"/>
          <w:szCs w:val="28"/>
          <w:lang w:val="en-US" w:eastAsia="zh-CN"/>
        </w:rPr>
        <w:t>65</w:t>
      </w:r>
      <w:r>
        <w:rPr>
          <w:rFonts w:hint="eastAsia" w:ascii="仿宋_GB2312" w:eastAsia="仿宋_GB2312"/>
          <w:sz w:val="28"/>
          <w:szCs w:val="28"/>
        </w:rPr>
        <w:t>万元），无出国出境差旅费支出，大大压缩了“三公”经费支出。</w:t>
      </w:r>
    </w:p>
    <w:p>
      <w:pPr>
        <w:numPr>
          <w:ilvl w:val="0"/>
          <w:numId w:val="0"/>
        </w:numPr>
        <w:adjustRightInd w:val="0"/>
        <w:snapToGrid w:val="0"/>
        <w:spacing w:line="600" w:lineRule="exact"/>
        <w:ind w:firstLine="560" w:firstLineChars="200"/>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（四）部门项目支出情况</w:t>
      </w:r>
    </w:p>
    <w:p>
      <w:pPr>
        <w:numPr>
          <w:ilvl w:val="0"/>
          <w:numId w:val="0"/>
        </w:numPr>
        <w:adjustRightInd w:val="0"/>
        <w:snapToGrid w:val="0"/>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湘财预[2017]177号、湘财预[2018]82号文件合计下达2018年政法转移支付资金172万元，其中办案业务费92万元，业务装备经费80万元；下达2018年公用经费补助经费21.12万元。湘财行指[2019]19号文件合计下达派出所维修经费3万元。湘财预[2018]147号文件下达2017-2018年度预备费10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2018年度中央和省级政法转移支付专项资金主要用于保障公安办案及公安装备配备各项开支，包括了办案的执勤执法车辆开支、办案人员差旅费、业务宣传费、信息举报费、专案支出、公安信息化装备配备等其他公安业务相关工作开支。办案业务经费主要用于办案消耗费、办案差旅费、侦查活动费、办案业务支出劳务费、办案业务专用材料支出、办案业务信息网络消耗费等等，由于有政法转移支付资金的支持与保障，在本年度分局顺利办理了邓志刚、邓高恒故意伤害、寻衅滋事、敲诈勒索案等等案件，维护了辖区内的稳定与人民的安全。业务装备经费主要用于业务装备的购置、刑事技术装备费、侦查技术装备费与信息网络及软件购置更新费。装备经费配备保障了刑事案件的破案率，以便快速跟上信息化时代的步伐。</w:t>
      </w:r>
    </w:p>
    <w:p>
      <w:pPr>
        <w:adjustRightInd w:val="0"/>
        <w:snapToGrid w:val="0"/>
        <w:spacing w:line="600" w:lineRule="exact"/>
        <w:rPr>
          <w:rFonts w:hint="eastAsia" w:ascii="仿宋_GB2312" w:hAnsi="宋体" w:eastAsia="仿宋_GB2312" w:cs="仿宋_GB2312"/>
          <w:sz w:val="32"/>
          <w:szCs w:val="32"/>
        </w:rPr>
      </w:pPr>
      <w:r>
        <w:rPr>
          <w:rFonts w:hint="eastAsia" w:ascii="仿宋_GB2312" w:eastAsia="仿宋_GB2312"/>
          <w:b/>
          <w:sz w:val="30"/>
          <w:szCs w:val="30"/>
          <w:lang w:eastAsia="zh-CN"/>
        </w:rPr>
        <w:t>四</w:t>
      </w:r>
      <w:r>
        <w:rPr>
          <w:rFonts w:hint="eastAsia" w:ascii="仿宋_GB2312" w:eastAsia="仿宋_GB2312"/>
          <w:b/>
          <w:sz w:val="30"/>
          <w:szCs w:val="30"/>
        </w:rPr>
        <w:t>、整体支出绩效情况</w:t>
      </w:r>
    </w:p>
    <w:p>
      <w:pPr>
        <w:adjustRightInd w:val="0"/>
        <w:snapToGrid w:val="0"/>
        <w:spacing w:line="600" w:lineRule="exact"/>
        <w:ind w:firstLine="600" w:firstLineChars="200"/>
        <w:rPr>
          <w:rFonts w:hint="eastAsia" w:ascii="仿宋_GB2312" w:eastAsia="仿宋_GB2312"/>
          <w:b/>
          <w:sz w:val="30"/>
          <w:szCs w:val="30"/>
          <w:lang w:eastAsia="zh-CN"/>
        </w:rPr>
      </w:pPr>
      <w:r>
        <w:rPr>
          <w:rFonts w:hint="eastAsia" w:ascii="仿宋_GB2312" w:eastAsia="仿宋_GB2312"/>
          <w:b/>
          <w:sz w:val="30"/>
          <w:szCs w:val="30"/>
          <w:lang w:eastAsia="zh-CN"/>
        </w:rPr>
        <w:t>（一）、扫黑除恶工作效果明显，群众满意</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自1月22日中央政法委部署全国扫黑除恶专项斗争以来，我局打掉涉恶团伙一个，一审判决3人。系凤凰乡邓姓兄弟故意伤害、寻衅滋事、敲诈勒索、强迫交易案，判决3人。通过扫黑除恶线索摸排，破获凤凰乡黄龙某寻衅滋事案，逮捕1人，5月23日积极化解了金洞镇柏子坳阻工事件，保证了易地扶贫工程的顺利进行，有效净化了基层治安环境和政治生态，极大地震慑了黑恶犯罪，群众拍手称快。充分利用手机报、新闻网等媒体对管理区开展专项斗争动态作了宣传报道，目前在金洞新闻网、公安内网、手机报等媒体发表各类报道8篇。在金洞城区制作大型户外牌3块，全区统一制作悬挂宣传横幅100多条，发放</w:t>
      </w:r>
      <w:r>
        <w:rPr>
          <w:rFonts w:hint="default" w:ascii="仿宋_GB2312" w:eastAsia="仿宋_GB2312"/>
          <w:sz w:val="28"/>
          <w:szCs w:val="28"/>
          <w:lang w:val="en-US" w:eastAsia="zh-CN"/>
        </w:rPr>
        <w:t>扫黑除恶</w:t>
      </w:r>
      <w:r>
        <w:rPr>
          <w:rFonts w:hint="eastAsia" w:ascii="仿宋_GB2312" w:eastAsia="仿宋_GB2312"/>
          <w:sz w:val="28"/>
          <w:szCs w:val="28"/>
          <w:lang w:val="en-US" w:eastAsia="zh-CN"/>
        </w:rPr>
        <w:t>专项斗争通告1000份，发放“致全区人民的一封信”10000份，乡镇、村组张贴宣传标语500多张。区、乡、村三级干部结合民调和扶贫工作，全面开展大走访、大接访、大排查活动，每名公安干警下到各自联系村，结合“一村一警”深入排查，认真填写走访登记表，听取群众意见和建议，深挖案件线索，消除群众顾虑，提高群众参与</w:t>
      </w:r>
      <w:r>
        <w:rPr>
          <w:rFonts w:hint="default" w:ascii="仿宋_GB2312" w:eastAsia="仿宋_GB2312"/>
          <w:sz w:val="28"/>
          <w:szCs w:val="28"/>
          <w:lang w:val="en-US" w:eastAsia="zh-CN"/>
        </w:rPr>
        <w:t>扫黑除恶</w:t>
      </w:r>
      <w:r>
        <w:rPr>
          <w:rFonts w:hint="eastAsia" w:ascii="仿宋_GB2312" w:eastAsia="仿宋_GB2312"/>
          <w:sz w:val="28"/>
          <w:szCs w:val="28"/>
          <w:lang w:val="en-US" w:eastAsia="zh-CN"/>
        </w:rPr>
        <w:t>专项斗争自觉性和积极性。为掌握全区各级各部门开展</w:t>
      </w:r>
      <w:r>
        <w:rPr>
          <w:rFonts w:hint="default" w:ascii="仿宋_GB2312" w:eastAsia="仿宋_GB2312"/>
          <w:sz w:val="28"/>
          <w:szCs w:val="28"/>
          <w:lang w:val="en-US" w:eastAsia="zh-CN"/>
        </w:rPr>
        <w:t>扫黑除恶</w:t>
      </w:r>
      <w:r>
        <w:rPr>
          <w:rFonts w:hint="eastAsia" w:ascii="仿宋_GB2312" w:eastAsia="仿宋_GB2312"/>
          <w:sz w:val="28"/>
          <w:szCs w:val="28"/>
          <w:lang w:val="en-US" w:eastAsia="zh-CN"/>
        </w:rPr>
        <w:t>专项斗争情况，由区领导带队、区扫黑办、公检法抽调专人分别于3月中旬、5月上旬开展了两次对乡镇及机关单位贯彻落实情况进行督导检查，及时发现问题、促进工作开展和各项措施落实到位。</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600" w:firstLineChars="200"/>
        <w:rPr>
          <w:rFonts w:hint="eastAsia" w:ascii="仿宋_GB2312" w:eastAsia="仿宋_GB2312"/>
          <w:b/>
          <w:sz w:val="30"/>
          <w:szCs w:val="30"/>
          <w:lang w:eastAsia="zh-CN"/>
        </w:rPr>
      </w:pPr>
      <w:r>
        <w:rPr>
          <w:rFonts w:hint="eastAsia" w:ascii="仿宋_GB2312" w:eastAsia="仿宋_GB2312"/>
          <w:b/>
          <w:sz w:val="30"/>
          <w:szCs w:val="30"/>
          <w:lang w:eastAsia="zh-CN"/>
        </w:rPr>
        <w:t>（二）、全面落实集打斗争任务目标</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分局始终将“夏秋攻势”作为当前重要的政治任务和中</w:t>
      </w:r>
      <w:bookmarkStart w:id="0" w:name="_GoBack"/>
      <w:bookmarkEnd w:id="0"/>
      <w:r>
        <w:rPr>
          <w:rFonts w:hint="eastAsia" w:ascii="仿宋_GB2312" w:eastAsia="仿宋_GB2312"/>
          <w:sz w:val="28"/>
          <w:szCs w:val="28"/>
          <w:lang w:val="en-US" w:eastAsia="zh-CN"/>
        </w:rPr>
        <w:t>心工作来抓，一月份来分局全力动员、迅速行动，高速度推进、高标准落实、高要求督导开展集打斗争行动， 一是高位推进工作落实。严格制定了集打斗争方案，按照每日通报、每周调度的原则，分局每周一召开一次集打斗争例行调度会，会上各责任部门向局党委汇报工作开展情况，对工作开展不力的要向局党委说明情况，高压落实责任，高速推进工作落实。二是全力开展“集打斗争”。分局始终坚持严打开路不动摇，以“案子不破心里难过、案发在逃心急火燎” 责任和担当，全力推进“集打斗争”，今年以来金洞辖区发生刑事案件19起，破案 15 起，破案率达到 47.4%。5月2日，金洞辖区一企业发生一起盗窃案，参战局领导民警以高度责任感、使命感，48小时侦破案件，抓获刑拘两名犯罪嫌疑人并追回赃物。6月4日，该企业主亲自专程到分局送来锦旗。三是全力开展重点人员重点部位管控。依托十九大维稳安保工作的基础，分局全力完善大研判、大管控、大排查长效机制。由治安、森保牵头制定了对辖区各重点部位、重点单位开展定期防火、安全生产工作检查制度，深入推进辖区冬季防火工作，开展了全区性的综合防火演练。结合十九大期间开展的大排查工作，明确了辖区重点反恐部位，并由针对性的开展反恐检查。强化日研判工作机制，对辖区存在矛盾隐患的问题及时研判，迅速处置。</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600" w:firstLineChars="200"/>
        <w:rPr>
          <w:rFonts w:hint="eastAsia" w:ascii="仿宋_GB2312" w:eastAsia="仿宋_GB2312"/>
          <w:b/>
          <w:sz w:val="30"/>
          <w:szCs w:val="30"/>
          <w:lang w:eastAsia="zh-CN"/>
        </w:rPr>
      </w:pPr>
      <w:r>
        <w:rPr>
          <w:rFonts w:hint="eastAsia" w:ascii="仿宋_GB2312" w:eastAsia="仿宋_GB2312"/>
          <w:b/>
          <w:sz w:val="30"/>
          <w:szCs w:val="30"/>
          <w:lang w:eastAsia="zh-CN"/>
        </w:rPr>
        <w:t>（三）、维稳安保“百日会战”强化社会面管控</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9月17日上午，金洞分局召开维稳安保部署会，统一安排调度辖区内社会稳控工作，分局党委班子，各所、队、室主要负责人，金洞交警大队参加会议。会上下发了金洞分局加强社会稳控工作的系列方案，区管委会副主任、公安分局局长秦学君针对辖区实际，结合方案、安排表等逐条逐项进行了讲解，将辖区内交通卡口、中小学、跳舞场等重要场所部位巡逻值守责任切实安排到单位。秦学君同志要求，全局要对社会稳控工作引起高度重视，做好重点人员摸排工作，开展每月一次走访、疏导，并将具体情况记录在册；要对辖区内重点场所开展检查并进行管控，对存在隐患的要下发整改通知书并督促及时整改到位；各班值班局领导要首先负起责任，组织好本班人员工作安排，并亲自带队开展夜巡；各所要联系村干部对各乡镇开展联合夜巡，并将夜巡情况向分局报送影像资料，通过共同努力切实做好社会稳控工作。为进一步推进大巡防、大管控、大整治工作，确保各项工作落实到位，9月25日，金洞分局召开维稳“百日会战”推进会，分局领导班子及各所、队、室主要负责人参加会议。会上下发了《金洞分局大巡防大管控大整治“百日会战”工作方案》，区管委会副主任、公安分局局长秦学君对照方案深入进行解读，并安排部署了具体工作。会议要求，全局要从思想上引起高度重视，按照分局下发的方案切实落实好各项工作；各所要按要求做好重点人员、场所等摸排检查工作，并结合开展的检查情况、值班备勤情况等做好台账资料；要落实工作保障，配齐各所警务及乡村义警装备，强化视频监控在线联通率，确保各项工作开展到位。</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600" w:firstLineChars="200"/>
        <w:rPr>
          <w:rFonts w:hint="eastAsia" w:ascii="仿宋_GB2312" w:eastAsia="仿宋_GB2312"/>
          <w:b/>
          <w:sz w:val="30"/>
          <w:szCs w:val="30"/>
          <w:lang w:eastAsia="zh-CN"/>
        </w:rPr>
      </w:pPr>
      <w:r>
        <w:rPr>
          <w:rFonts w:hint="eastAsia" w:ascii="仿宋_GB2312" w:eastAsia="仿宋_GB2312"/>
          <w:b/>
          <w:sz w:val="30"/>
          <w:szCs w:val="30"/>
          <w:lang w:eastAsia="zh-CN"/>
        </w:rPr>
        <w:t>（四）、金洞分局整治黄河村用电秩序效果显著</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2018年12月21日，区管委会副主任、公安分局局长秦学君率领分局民警、金洞镇相关负责领导及各相关企事业单位工作人员对黄河村用电秩序纠纷开展整治行动。因黄河村群众长期私接电线并拒绝支付电费，阻碍电力公司完善用电设施施工工作等问题，与电力公司发生纠纷。电力公司报警后，该村村民周某某与黄某某夫妻二人拒不配合处警民警工作，并言辞激烈，抢夺施工队用具，带头与该村村民继续阻挡施工。21日上午，秦学君同志率队统一行动，现场整治黄河村用电秩序，首先带离生事群众周某某与黄某某夫妻二人并对其进行了批评教育，同时通过疏导群众情绪，向群众耐心讲解完善电力设备工作重要性及好处，经过几个小时的耐心讲解，最终顺利解决黄河村用电秩序纠纷，目前，黄河村电网改造工作正有序进行中。</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600" w:firstLineChars="200"/>
        <w:rPr>
          <w:rFonts w:hint="eastAsia" w:ascii="仿宋_GB2312" w:eastAsia="仿宋_GB2312"/>
          <w:b/>
          <w:sz w:val="30"/>
          <w:szCs w:val="30"/>
          <w:lang w:eastAsia="zh-CN"/>
        </w:rPr>
      </w:pPr>
      <w:r>
        <w:rPr>
          <w:rFonts w:hint="eastAsia" w:ascii="仿宋_GB2312" w:eastAsia="仿宋_GB2312"/>
          <w:b/>
          <w:sz w:val="30"/>
          <w:szCs w:val="30"/>
          <w:lang w:eastAsia="zh-CN"/>
        </w:rPr>
        <w:t>（五）、金洞公安分局举行“一村一辅警”培训会，全面铺开农村辅警工作</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560" w:firstLineChars="200"/>
        <w:rPr>
          <w:rFonts w:hint="eastAsia" w:ascii="仿宋_GB2312" w:hAnsi="宋体" w:eastAsia="仿宋_GB2312"/>
          <w:sz w:val="32"/>
          <w:szCs w:val="32"/>
        </w:rPr>
      </w:pPr>
      <w:r>
        <w:rPr>
          <w:rFonts w:hint="eastAsia" w:ascii="仿宋_GB2312" w:eastAsia="仿宋_GB2312"/>
          <w:sz w:val="28"/>
          <w:szCs w:val="28"/>
          <w:lang w:val="en-US" w:eastAsia="zh-CN"/>
        </w:rPr>
        <w:t>2018年12月18日，为推进“一村一辅警”工作落实，确保各村新招录辅警尽快进入工作角色，进一步完善辅警队伍，金洞分局召开“一村一辅警”培训会，区管委会副主任、公安分局局长秦学君，区政法委副书记赵子勇出席会议并讲话，分局政委刘明主持会议，新招录辅警及分局协警共50余人参训。会上，秦学君同志指出，辅警们要深刻认识到农村辅警工作是根据社会大局需要的一项重要举措，充分认识到担任农村辅警是一份期待、一份责任、一份压力，以让人们群众享受更平安更幸福的生活为己任，做好“八大员”职责，扎扎实实抓好农村社会治安工作。此次培训内容丰富、课程全面，从各类信息采集、森林防火、刑事案件、交通安全、队伍纪律作风、辅警工作内容等基础知识到警训、警械使用与实战，加强了协辅警对的公安基础工作的认识，丰富了其必备工作知识储备，锻炼了实战能力。通过此次培训，进一步强化了分局协辅警队伍的作战能力、处置能力，标志着金洞农村辅警工作全面展开，为打造金洞平安绿洲坚实了基础力量。</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600" w:firstLineChars="200"/>
        <w:rPr>
          <w:rFonts w:hint="eastAsia" w:ascii="仿宋_GB2312" w:eastAsia="仿宋_GB2312"/>
          <w:b/>
          <w:sz w:val="30"/>
          <w:szCs w:val="30"/>
        </w:rPr>
      </w:pPr>
      <w:r>
        <w:rPr>
          <w:rFonts w:hint="eastAsia" w:ascii="仿宋_GB2312" w:eastAsia="仿宋_GB2312"/>
          <w:b/>
          <w:sz w:val="30"/>
          <w:szCs w:val="30"/>
          <w:lang w:eastAsia="zh-CN"/>
        </w:rPr>
        <w:t>五</w:t>
      </w:r>
      <w:r>
        <w:rPr>
          <w:rFonts w:hint="eastAsia" w:ascii="仿宋_GB2312" w:eastAsia="仿宋_GB2312"/>
          <w:b/>
          <w:sz w:val="30"/>
          <w:szCs w:val="30"/>
        </w:rPr>
        <w:t>、工作建议</w:t>
      </w:r>
    </w:p>
    <w:p>
      <w:pPr>
        <w:widowControl/>
        <w:pBdr>
          <w:top w:val="single" w:color="FFFFFF" w:sz="4" w:space="0"/>
          <w:left w:val="single" w:color="FFFFFF" w:sz="4" w:space="0"/>
          <w:bottom w:val="single" w:color="FFFFFF" w:sz="4" w:space="31"/>
          <w:right w:val="single" w:color="FFFFFF" w:sz="4" w:space="9"/>
        </w:pBdr>
        <w:adjustRightInd w:val="0"/>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在政法系统中，公安机关处在维护稳定、打击犯罪的第一线，同时，还承担了禁毒、反恐、维稳等专项工作。因此，公安支出，无论是消耗性的还是建设性的都需要大量资金。在今后资金安排上，请市财政提高我局专案经费的支持力度。</w:t>
      </w: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仿宋" w:hAnsi="仿宋" w:eastAsia="仿宋" w:cs="仿宋"/>
          <w:b w:val="0"/>
          <w:i w:val="0"/>
          <w:caps w:val="0"/>
          <w:color w:val="333333"/>
          <w:spacing w:val="0"/>
          <w:sz w:val="28"/>
          <w:szCs w:val="28"/>
          <w:lang w:eastAsia="zh-CN"/>
        </w:rPr>
      </w:pPr>
      <w:r>
        <w:rPr>
          <w:rFonts w:hint="eastAsia" w:ascii="仿宋" w:hAnsi="仿宋" w:eastAsia="仿宋" w:cs="仿宋"/>
          <w:b w:val="0"/>
          <w:i w:val="0"/>
          <w:caps w:val="0"/>
          <w:color w:val="333333"/>
          <w:spacing w:val="0"/>
          <w:sz w:val="28"/>
          <w:szCs w:val="28"/>
          <w:lang w:eastAsia="zh-CN"/>
        </w:rPr>
        <w:t>附：市直部门整体支出绩效评价表</w:t>
      </w: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lang w:eastAsia="zh-CN"/>
        </w:rPr>
      </w:pPr>
      <w:r>
        <w:rPr>
          <w:rFonts w:hint="eastAsia" w:ascii="黑体" w:hAnsi="宋体" w:eastAsia="黑体" w:cs="宋体"/>
          <w:bCs/>
          <w:kern w:val="0"/>
          <w:sz w:val="32"/>
          <w:szCs w:val="32"/>
        </w:rPr>
        <w:t>附件</w:t>
      </w:r>
      <w:r>
        <w:rPr>
          <w:rFonts w:hint="eastAsia" w:ascii="黑体" w:hAnsi="宋体" w:eastAsia="黑体" w:cs="宋体"/>
          <w:bCs/>
          <w:kern w:val="0"/>
          <w:sz w:val="32"/>
          <w:szCs w:val="32"/>
          <w:lang w:val="en-US" w:eastAsia="zh-CN"/>
        </w:rPr>
        <w:t>1</w:t>
      </w:r>
    </w:p>
    <w:p>
      <w:pPr>
        <w:spacing w:line="560" w:lineRule="exact"/>
        <w:jc w:val="center"/>
        <w:rPr>
          <w:kern w:val="0"/>
          <w:sz w:val="44"/>
          <w:szCs w:val="44"/>
        </w:rPr>
      </w:pPr>
      <w:r>
        <w:rPr>
          <w:rFonts w:eastAsia="方正小标宋_GBK"/>
          <w:kern w:val="0"/>
          <w:sz w:val="44"/>
          <w:szCs w:val="44"/>
        </w:rPr>
        <w:t>部门整体支出绩效评价表</w:t>
      </w:r>
    </w:p>
    <w:tbl>
      <w:tblPr>
        <w:tblStyle w:val="5"/>
        <w:tblW w:w="0" w:type="auto"/>
        <w:jc w:val="center"/>
        <w:tblLayout w:type="fixed"/>
        <w:tblCellMar>
          <w:top w:w="0" w:type="dxa"/>
          <w:left w:w="108" w:type="dxa"/>
          <w:bottom w:w="0" w:type="dxa"/>
          <w:right w:w="108" w:type="dxa"/>
        </w:tblCellMar>
      </w:tblPr>
      <w:tblGrid>
        <w:gridCol w:w="518"/>
        <w:gridCol w:w="416"/>
        <w:gridCol w:w="677"/>
        <w:gridCol w:w="416"/>
        <w:gridCol w:w="1194"/>
        <w:gridCol w:w="478"/>
        <w:gridCol w:w="2977"/>
        <w:gridCol w:w="3402"/>
        <w:gridCol w:w="522"/>
      </w:tblGrid>
      <w:tr>
        <w:tblPrEx>
          <w:tblCellMar>
            <w:top w:w="0" w:type="dxa"/>
            <w:left w:w="108" w:type="dxa"/>
            <w:bottom w:w="0" w:type="dxa"/>
            <w:right w:w="108" w:type="dxa"/>
          </w:tblCellMar>
        </w:tblPrEx>
        <w:trPr>
          <w:trHeight w:val="90" w:hRule="atLeast"/>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119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三级</w:t>
            </w:r>
          </w:p>
          <w:p>
            <w:pPr>
              <w:widowControl/>
              <w:jc w:val="center"/>
              <w:rPr>
                <w:rFonts w:eastAsia="仿宋_GB2312"/>
                <w:kern w:val="0"/>
                <w:sz w:val="20"/>
                <w:szCs w:val="20"/>
              </w:rPr>
            </w:pPr>
            <w:r>
              <w:rPr>
                <w:rFonts w:eastAsia="仿宋_GB2312"/>
                <w:kern w:val="0"/>
                <w:sz w:val="20"/>
                <w:szCs w:val="20"/>
              </w:rPr>
              <w:t>指标</w:t>
            </w:r>
          </w:p>
        </w:tc>
        <w:tc>
          <w:tcPr>
            <w:tcW w:w="47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2977"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评价标准</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指标说明</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得分</w:t>
            </w:r>
          </w:p>
        </w:tc>
      </w:tr>
      <w:tr>
        <w:tblPrEx>
          <w:tblCellMar>
            <w:top w:w="0" w:type="dxa"/>
            <w:left w:w="108" w:type="dxa"/>
            <w:bottom w:w="0" w:type="dxa"/>
            <w:right w:w="108" w:type="dxa"/>
          </w:tblCellMar>
        </w:tblPrEx>
        <w:trPr>
          <w:trHeight w:val="90" w:hRule="atLeast"/>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在职人员控制率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nil"/>
              <w:right w:val="nil"/>
            </w:tcBorders>
            <w:noWrap w:val="0"/>
            <w:vAlign w:val="center"/>
          </w:tcPr>
          <w:p>
            <w:pPr>
              <w:widowControl/>
              <w:jc w:val="left"/>
              <w:rPr>
                <w:rFonts w:eastAsia="仿宋_GB2312"/>
                <w:kern w:val="0"/>
                <w:sz w:val="20"/>
                <w:szCs w:val="20"/>
              </w:rPr>
            </w:pPr>
            <w:r>
              <w:rPr>
                <w:rFonts w:eastAsia="仿宋_GB2312"/>
                <w:kern w:val="0"/>
                <w:sz w:val="20"/>
                <w:szCs w:val="20"/>
              </w:rPr>
              <w:t>以100%为标准。在职人员控制率</w:t>
            </w:r>
            <w:r>
              <w:rPr>
                <w:kern w:val="0"/>
                <w:sz w:val="20"/>
                <w:szCs w:val="20"/>
              </w:rPr>
              <w:t>≦</w:t>
            </w:r>
            <w:r>
              <w:rPr>
                <w:rFonts w:eastAsia="仿宋_GB2312"/>
                <w:kern w:val="0"/>
                <w:sz w:val="20"/>
                <w:szCs w:val="20"/>
              </w:rPr>
              <w:t>100%，计5分；每超过一个百分点扣0.5分，扣完为止。</w:t>
            </w:r>
          </w:p>
        </w:tc>
        <w:tc>
          <w:tcPr>
            <w:tcW w:w="3402" w:type="dxa"/>
            <w:tcBorders>
              <w:top w:val="nil"/>
              <w:left w:val="single" w:color="auto" w:sz="4" w:space="0"/>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hint="eastAsia" w:eastAsia="仿宋_GB2312"/>
                <w:kern w:val="0"/>
                <w:sz w:val="20"/>
                <w:szCs w:val="20"/>
                <w:lang w:val="en-US" w:eastAsia="zh-CN"/>
              </w:rPr>
              <w:t>56/108&lt;100%</w:t>
            </w:r>
          </w:p>
        </w:tc>
        <w:tc>
          <w:tcPr>
            <w:tcW w:w="522" w:type="dxa"/>
            <w:tcBorders>
              <w:top w:val="nil"/>
              <w:left w:val="nil"/>
              <w:bottom w:val="single" w:color="auto" w:sz="4" w:space="0"/>
              <w:right w:val="single" w:color="auto" w:sz="4" w:space="0"/>
            </w:tcBorders>
            <w:noWrap w:val="0"/>
            <w:vAlign w:val="center"/>
          </w:tcPr>
          <w:p>
            <w:pPr>
              <w:widowControl/>
              <w:jc w:val="left"/>
              <w:rPr>
                <w:kern w:val="0"/>
                <w:sz w:val="24"/>
              </w:rPr>
            </w:pPr>
            <w:r>
              <w:rPr>
                <w:rFonts w:hint="eastAsia"/>
                <w:kern w:val="0"/>
                <w:sz w:val="24"/>
                <w:lang w:val="en-US" w:eastAsia="zh-CN"/>
              </w:rPr>
              <w:t>5</w:t>
            </w:r>
            <w:r>
              <w:rPr>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“三公经费”变动率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“三公经费”变动率</w:t>
            </w:r>
            <w:r>
              <w:rPr>
                <w:kern w:val="0"/>
                <w:sz w:val="20"/>
                <w:szCs w:val="20"/>
              </w:rPr>
              <w:t>≦</w:t>
            </w:r>
            <w:r>
              <w:rPr>
                <w:rFonts w:eastAsia="仿宋_GB2312"/>
                <w:kern w:val="0"/>
                <w:sz w:val="20"/>
                <w:szCs w:val="20"/>
              </w:rPr>
              <w:t>0,计8分；“三公经费”＞0，每超过一个百分点扣0.8分，扣完为止。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hint="eastAsia" w:eastAsia="仿宋_GB2312"/>
                <w:kern w:val="0"/>
                <w:sz w:val="20"/>
                <w:szCs w:val="20"/>
                <w:lang w:val="en-US" w:eastAsia="zh-CN"/>
              </w:rPr>
              <w:t>(99-100)/100</w:t>
            </w:r>
            <w:r>
              <w:rPr>
                <w:rFonts w:hint="eastAsia" w:ascii="Arial" w:hAnsi="Arial" w:eastAsia="仿宋_GB2312" w:cs="Arial"/>
                <w:kern w:val="0"/>
                <w:sz w:val="20"/>
                <w:szCs w:val="20"/>
                <w:lang w:val="en-US" w:eastAsia="zh-CN"/>
              </w:rPr>
              <w:t>&lt;0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过                                                                                                                                       程</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60</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20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预算完成率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100%计满分，每低于5%扣2分，扣完为止。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预算完成率=（上年结转+年初预算+本年追加预算-年末结余）/（上年结转+年初预算+本年追加预算）×100%。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2</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预算控制率=0，计5分；0-10%（含），计4分；10-20%（含），计3分；20-30%（含），计2分；大于30%不得分。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预算控制率=（本年追加预算/年初预算）×100%。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3</w:t>
            </w:r>
          </w:p>
        </w:tc>
      </w:tr>
      <w:tr>
        <w:tblPrEx>
          <w:tblCellMar>
            <w:top w:w="0" w:type="dxa"/>
            <w:left w:w="108" w:type="dxa"/>
            <w:bottom w:w="0" w:type="dxa"/>
            <w:right w:w="108" w:type="dxa"/>
          </w:tblCellMar>
        </w:tblPrEx>
        <w:trPr>
          <w:trHeight w:val="113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100%以下（含）计满分，每超出5%扣2分，扣完为止。没有楼堂馆所项目的部门按满分计算。</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hint="eastAsia" w:eastAsia="仿宋_GB2312"/>
                <w:kern w:val="0"/>
                <w:sz w:val="20"/>
                <w:szCs w:val="20"/>
                <w:lang w:val="en-US" w:eastAsia="zh-CN"/>
              </w:rPr>
              <w:t>无</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58"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100%以下（含）计满分，每超出5%扣2分，扣完为止。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lang w:eastAsia="zh-CN"/>
              </w:rPr>
              <w:t>无</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40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公用经费控制率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公用经费控制率=（实际支出公用经费总额/预算安排公用经费总额）×100%。</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“三公经费”控制率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hint="eastAsia" w:eastAsia="仿宋_GB2312"/>
                <w:kern w:val="0"/>
                <w:sz w:val="20"/>
                <w:szCs w:val="20"/>
                <w:lang w:val="en-US" w:eastAsia="zh-CN"/>
              </w:rPr>
              <w:t>531284.14/100000&lt;100%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政府采购执行率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100%计满分，每超过（降低）5%扣2分。扣完为止。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eastAsia="仿宋_GB2312"/>
                <w:kern w:val="0"/>
                <w:sz w:val="20"/>
                <w:szCs w:val="20"/>
              </w:rPr>
              <w:t>政府采购执行率=（实际政府采购金额/政府采购预算数）×100%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r>
              <w:rPr>
                <w:rFonts w:eastAsia="仿宋_GB2312"/>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管理制度健全性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①有内部财务管理制度、会计核算制度等管理制度，2分；</w:t>
            </w:r>
            <w:r>
              <w:rPr>
                <w:rFonts w:eastAsia="仿宋_GB2312"/>
                <w:kern w:val="0"/>
                <w:sz w:val="20"/>
                <w:szCs w:val="20"/>
              </w:rPr>
              <w:br w:type="textWrapping"/>
            </w:r>
            <w:r>
              <w:rPr>
                <w:rFonts w:eastAsia="仿宋_GB2312"/>
                <w:kern w:val="0"/>
                <w:sz w:val="20"/>
                <w:szCs w:val="20"/>
              </w:rPr>
              <w:t>②有本部门厉行节约制度,2分；</w:t>
            </w:r>
            <w:r>
              <w:rPr>
                <w:rFonts w:eastAsia="仿宋_GB2312"/>
                <w:kern w:val="0"/>
                <w:sz w:val="20"/>
                <w:szCs w:val="20"/>
              </w:rPr>
              <w:br w:type="textWrapping"/>
            </w:r>
            <w:r>
              <w:rPr>
                <w:rFonts w:eastAsia="仿宋_GB2312"/>
                <w:kern w:val="0"/>
                <w:sz w:val="20"/>
                <w:szCs w:val="20"/>
              </w:rPr>
              <w:t>③相关管理制度合法、合规、完整，2分；④相关管理制度得到有效执行，2分。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资金使用合规性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4</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eastAsia="仿宋_GB2312"/>
                <w:kern w:val="0"/>
                <w:sz w:val="20"/>
                <w:szCs w:val="20"/>
              </w:rPr>
              <w:t>预决算信息是指与部门预算、执行、决算、监督、绩效等管理相关的信息。</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30</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119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重点工作实际完成率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根据绩效办201</w:t>
            </w:r>
            <w:r>
              <w:rPr>
                <w:rFonts w:hint="eastAsia" w:eastAsia="仿宋_GB2312"/>
                <w:kern w:val="0"/>
                <w:sz w:val="20"/>
                <w:szCs w:val="20"/>
              </w:rPr>
              <w:t>7</w:t>
            </w:r>
            <w:r>
              <w:rPr>
                <w:rFonts w:eastAsia="仿宋_GB2312"/>
                <w:kern w:val="0"/>
                <w:sz w:val="20"/>
                <w:szCs w:val="20"/>
              </w:rPr>
              <w:t>年对各部门为民办实事和部门重点工程与重点工作考核分数折算。</w:t>
            </w:r>
            <w:r>
              <w:rPr>
                <w:rFonts w:eastAsia="仿宋_GB2312"/>
                <w:kern w:val="0"/>
                <w:sz w:val="20"/>
                <w:szCs w:val="20"/>
              </w:rPr>
              <w:br w:type="textWrapping"/>
            </w:r>
            <w:r>
              <w:rPr>
                <w:rFonts w:eastAsia="仿宋_GB2312"/>
                <w:kern w:val="0"/>
                <w:sz w:val="20"/>
                <w:szCs w:val="20"/>
              </w:rPr>
              <w:t>该项得分=（绩效办对应部分考核得分/350）*8</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val="en-US" w:eastAsia="zh-CN"/>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445"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119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经济效益</w:t>
            </w:r>
          </w:p>
        </w:tc>
        <w:tc>
          <w:tcPr>
            <w:tcW w:w="478"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637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522" w:type="dxa"/>
            <w:tcBorders>
              <w:top w:val="nil"/>
              <w:left w:val="nil"/>
              <w:bottom w:val="nil"/>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4</w:t>
            </w:r>
          </w:p>
        </w:tc>
      </w:tr>
      <w:tr>
        <w:tblPrEx>
          <w:tblCellMar>
            <w:top w:w="0" w:type="dxa"/>
            <w:left w:w="108" w:type="dxa"/>
            <w:bottom w:w="0" w:type="dxa"/>
            <w:right w:w="108" w:type="dxa"/>
          </w:tblCellMar>
        </w:tblPrEx>
        <w:trPr>
          <w:trHeight w:val="514"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社会效益</w:t>
            </w:r>
          </w:p>
        </w:tc>
        <w:tc>
          <w:tcPr>
            <w:tcW w:w="478"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637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522" w:type="dxa"/>
            <w:tcBorders>
              <w:top w:val="nil"/>
              <w:left w:val="nil"/>
              <w:bottom w:val="nil"/>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4</w:t>
            </w:r>
          </w:p>
        </w:tc>
      </w:tr>
      <w:tr>
        <w:tblPrEx>
          <w:tblCellMar>
            <w:top w:w="0" w:type="dxa"/>
            <w:left w:w="108" w:type="dxa"/>
            <w:bottom w:w="0" w:type="dxa"/>
            <w:right w:w="108" w:type="dxa"/>
          </w:tblCellMar>
        </w:tblPrEx>
        <w:trPr>
          <w:trHeight w:val="1365"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12</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行政效能</w:t>
            </w:r>
          </w:p>
        </w:tc>
        <w:tc>
          <w:tcPr>
            <w:tcW w:w="47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促进部门改进文风会风，加强经费及资产管理，推动网上办事，提高行政效率，降低行政成本效果较好的计6分；一般3分；无效果或者效果不明显0分。</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根据部门自评材料评定。</w:t>
            </w:r>
          </w:p>
        </w:tc>
        <w:tc>
          <w:tcPr>
            <w:tcW w:w="522"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90%（含）以上计6分；</w:t>
            </w:r>
            <w:r>
              <w:rPr>
                <w:rFonts w:eastAsia="仿宋_GB2312"/>
                <w:kern w:val="0"/>
                <w:sz w:val="20"/>
                <w:szCs w:val="20"/>
              </w:rPr>
              <w:br w:type="textWrapping"/>
            </w:r>
            <w:r>
              <w:rPr>
                <w:rFonts w:eastAsia="仿宋_GB2312"/>
                <w:kern w:val="0"/>
                <w:sz w:val="20"/>
                <w:szCs w:val="20"/>
              </w:rPr>
              <w:t>80%（含）-90%，计4分；</w:t>
            </w:r>
            <w:r>
              <w:rPr>
                <w:rFonts w:eastAsia="仿宋_GB2312"/>
                <w:kern w:val="0"/>
                <w:sz w:val="20"/>
                <w:szCs w:val="20"/>
              </w:rPr>
              <w:br w:type="textWrapping"/>
            </w:r>
            <w:r>
              <w:rPr>
                <w:rFonts w:eastAsia="仿宋_GB2312"/>
                <w:kern w:val="0"/>
                <w:sz w:val="20"/>
                <w:szCs w:val="20"/>
              </w:rPr>
              <w:t>70%（含）-80%，计2分；</w:t>
            </w:r>
            <w:r>
              <w:rPr>
                <w:rFonts w:eastAsia="仿宋_GB2312"/>
                <w:kern w:val="0"/>
                <w:sz w:val="20"/>
                <w:szCs w:val="20"/>
              </w:rPr>
              <w:br w:type="textWrapping"/>
            </w:r>
            <w:r>
              <w:rPr>
                <w:rFonts w:eastAsia="仿宋_GB2312"/>
                <w:kern w:val="0"/>
                <w:sz w:val="20"/>
                <w:szCs w:val="20"/>
              </w:rPr>
              <w:t>低于70%计0分。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bl>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widowControl/>
        <w:pBdr>
          <w:top w:val="single" w:color="FFFFFF" w:sz="4" w:space="0"/>
          <w:left w:val="single" w:color="FFFFFF" w:sz="4" w:space="0"/>
          <w:bottom w:val="single" w:color="FFFFFF" w:sz="4" w:space="31"/>
          <w:right w:val="single" w:color="FFFFFF" w:sz="4" w:space="9"/>
        </w:pBdr>
        <w:adjustRightInd w:val="0"/>
        <w:spacing w:line="600" w:lineRule="exact"/>
        <w:rPr>
          <w:rFonts w:hint="eastAsia" w:ascii="黑体" w:hAnsi="宋体" w:eastAsia="黑体" w:cs="宋体"/>
          <w:bCs/>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ascii="黑体" w:hAnsi="黑体" w:eastAsia="黑体" w:cs="黑体"/>
          <w:b/>
          <w:color w:val="000000"/>
          <w:kern w:val="0"/>
          <w:sz w:val="90"/>
          <w:szCs w:val="90"/>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黑体" w:hAnsi="黑体" w:eastAsia="黑体" w:cs="黑体"/>
          <w:b/>
          <w:color w:val="000000"/>
          <w:kern w:val="0"/>
          <w:sz w:val="90"/>
          <w:szCs w:val="90"/>
          <w:lang w:val="en-US" w:eastAsia="zh-CN"/>
        </w:rPr>
      </w:pPr>
      <w:r>
        <w:rPr>
          <w:rFonts w:ascii="黑体" w:hAnsi="黑体" w:eastAsia="黑体" w:cs="黑体"/>
          <w:b/>
          <w:color w:val="000000"/>
          <w:kern w:val="0"/>
          <w:sz w:val="90"/>
          <w:szCs w:val="90"/>
        </w:rPr>
        <w:t>第</w:t>
      </w:r>
      <w:r>
        <w:rPr>
          <w:rFonts w:hint="eastAsia" w:ascii="黑体" w:hAnsi="黑体" w:eastAsia="黑体" w:cs="黑体"/>
          <w:b/>
          <w:color w:val="000000"/>
          <w:kern w:val="0"/>
          <w:sz w:val="90"/>
          <w:szCs w:val="90"/>
          <w:lang w:eastAsia="zh-CN"/>
        </w:rPr>
        <w:t>六</w:t>
      </w:r>
      <w:r>
        <w:rPr>
          <w:rFonts w:ascii="黑体" w:hAnsi="黑体" w:eastAsia="黑体" w:cs="黑体"/>
          <w:b/>
          <w:color w:val="000000"/>
          <w:kern w:val="0"/>
          <w:sz w:val="90"/>
          <w:szCs w:val="90"/>
        </w:rPr>
        <w:t>部分</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黑体" w:hAnsi="黑体" w:eastAsia="黑体" w:cs="黑体"/>
          <w:b/>
          <w:color w:val="000000"/>
          <w:kern w:val="0"/>
          <w:sz w:val="90"/>
          <w:szCs w:val="90"/>
          <w:lang w:val="en-US" w:eastAsia="zh-CN"/>
        </w:rPr>
      </w:pPr>
      <w:r>
        <w:rPr>
          <w:rFonts w:hint="eastAsia" w:ascii="黑体" w:hAnsi="黑体" w:eastAsia="黑体" w:cs="黑体"/>
          <w:b/>
          <w:color w:val="000000"/>
          <w:kern w:val="0"/>
          <w:sz w:val="90"/>
          <w:szCs w:val="90"/>
          <w:lang w:val="en-US" w:eastAsia="zh-CN"/>
        </w:rPr>
        <w:t>2018年度部门项目支出绩效评价报告</w:t>
      </w: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ind w:firstLine="640" w:firstLineChars="200"/>
        <w:jc w:val="left"/>
        <w:rPr>
          <w:rFonts w:cs="黑体" w:asciiTheme="minorEastAsia" w:hAnsiTheme="minorEastAsia"/>
          <w:color w:val="FF0000"/>
          <w:kern w:val="0"/>
          <w:sz w:val="32"/>
          <w:szCs w:val="32"/>
        </w:rPr>
      </w:pPr>
    </w:p>
    <w:p>
      <w:pPr>
        <w:jc w:val="left"/>
        <w:rPr>
          <w:rFonts w:cs="黑体" w:asciiTheme="minorEastAsia" w:hAnsiTheme="minorEastAsia"/>
          <w:color w:val="FF0000"/>
          <w:kern w:val="0"/>
          <w:sz w:val="32"/>
          <w:szCs w:val="32"/>
        </w:rPr>
      </w:pPr>
    </w:p>
    <w:p>
      <w:pPr>
        <w:jc w:val="center"/>
        <w:rPr>
          <w:rFonts w:hint="eastAsia"/>
          <w:b/>
          <w:bCs/>
          <w:sz w:val="36"/>
          <w:szCs w:val="36"/>
          <w:lang w:val="en-US" w:eastAsia="zh-CN"/>
        </w:rPr>
      </w:pPr>
      <w:r>
        <w:rPr>
          <w:rFonts w:hint="eastAsia"/>
          <w:b/>
          <w:bCs/>
          <w:sz w:val="36"/>
          <w:szCs w:val="36"/>
          <w:lang w:val="en-US" w:eastAsia="zh-CN"/>
        </w:rPr>
        <w:t>永州市公安局金洞分局2018年度中央和省级政法</w:t>
      </w:r>
    </w:p>
    <w:p>
      <w:pPr>
        <w:jc w:val="center"/>
        <w:rPr>
          <w:rFonts w:hint="eastAsia"/>
          <w:b/>
          <w:bCs/>
          <w:sz w:val="36"/>
          <w:szCs w:val="36"/>
          <w:lang w:val="en-US" w:eastAsia="zh-CN"/>
        </w:rPr>
      </w:pPr>
      <w:r>
        <w:rPr>
          <w:rFonts w:hint="eastAsia"/>
          <w:b/>
          <w:bCs/>
          <w:sz w:val="36"/>
          <w:szCs w:val="36"/>
          <w:lang w:val="en-US" w:eastAsia="zh-CN"/>
        </w:rPr>
        <w:t>转移支付专项资金绩效自评报告</w:t>
      </w:r>
    </w:p>
    <w:p>
      <w:pPr>
        <w:numPr>
          <w:ilvl w:val="0"/>
          <w:numId w:val="0"/>
        </w:numPr>
        <w:adjustRightInd w:val="0"/>
        <w:snapToGrid w:val="0"/>
        <w:spacing w:line="600" w:lineRule="exact"/>
        <w:ind w:firstLine="600" w:firstLineChars="200"/>
        <w:rPr>
          <w:rFonts w:hint="eastAsia"/>
          <w:b/>
          <w:bCs/>
          <w:sz w:val="30"/>
          <w:szCs w:val="30"/>
          <w:lang w:val="en-US" w:eastAsia="zh-CN"/>
        </w:rPr>
      </w:pPr>
      <w:r>
        <w:rPr>
          <w:rFonts w:hint="eastAsia" w:ascii="仿宋_GB2312" w:hAnsi="宋体" w:eastAsia="仿宋_GB2312" w:cs="Times New Roman"/>
          <w:color w:val="000000"/>
          <w:sz w:val="30"/>
          <w:szCs w:val="30"/>
          <w:lang w:eastAsia="zh-CN"/>
        </w:rPr>
        <w:t>我局根据</w:t>
      </w:r>
      <w:r>
        <w:rPr>
          <w:rFonts w:hint="eastAsia" w:ascii="仿宋_GB2312" w:hAnsi="宋体" w:eastAsia="仿宋_GB2312" w:cs="Times New Roman"/>
          <w:color w:val="000000"/>
          <w:sz w:val="28"/>
          <w:szCs w:val="28"/>
          <w:lang w:eastAsia="zh-CN"/>
        </w:rPr>
        <w:t>《关于报送2019年预算绩效目标和2018年度部门预算绩效自评报告的通知》（永财绩〔</w:t>
      </w:r>
      <w:r>
        <w:rPr>
          <w:rFonts w:hint="eastAsia" w:ascii="仿宋_GB2312" w:hAnsi="宋体" w:eastAsia="仿宋_GB2312" w:cs="Times New Roman"/>
          <w:color w:val="000000"/>
          <w:sz w:val="28"/>
          <w:szCs w:val="28"/>
          <w:lang w:val="en-US" w:eastAsia="zh-CN"/>
        </w:rPr>
        <w:t>2019</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28"/>
          <w:szCs w:val="28"/>
          <w:lang w:val="en-US" w:eastAsia="zh-CN"/>
        </w:rPr>
        <w:t>1号</w:t>
      </w:r>
      <w:r>
        <w:rPr>
          <w:rFonts w:hint="eastAsia" w:ascii="仿宋_GB2312" w:hAnsi="宋体" w:eastAsia="仿宋_GB2312" w:cs="Times New Roman"/>
          <w:color w:val="000000"/>
          <w:sz w:val="28"/>
          <w:szCs w:val="28"/>
          <w:lang w:eastAsia="zh-CN"/>
        </w:rPr>
        <w:t>）精神</w:t>
      </w:r>
      <w:r>
        <w:rPr>
          <w:rFonts w:hint="eastAsia" w:ascii="仿宋_GB2312" w:hAnsi="宋体" w:eastAsia="仿宋_GB2312" w:cs="Times New Roman"/>
          <w:color w:val="000000"/>
          <w:sz w:val="30"/>
          <w:szCs w:val="30"/>
          <w:lang w:eastAsia="zh-CN"/>
        </w:rPr>
        <w:t>，强化绩效理念，提高财政资金使用效益，现就开展</w:t>
      </w:r>
      <w:r>
        <w:rPr>
          <w:rFonts w:hint="eastAsia" w:ascii="仿宋_GB2312" w:hAnsi="宋体" w:eastAsia="仿宋_GB2312" w:cs="Times New Roman"/>
          <w:color w:val="000000"/>
          <w:sz w:val="30"/>
          <w:szCs w:val="30"/>
          <w:lang w:val="en-US" w:eastAsia="zh-CN"/>
        </w:rPr>
        <w:t>2018年财政支出绩效自评作如下分析：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b/>
          <w:bCs/>
          <w:sz w:val="30"/>
          <w:szCs w:val="30"/>
          <w:lang w:val="en-US" w:eastAsia="zh-CN"/>
        </w:rPr>
      </w:pPr>
      <w:r>
        <w:rPr>
          <w:rFonts w:hint="eastAsia"/>
          <w:b/>
          <w:bCs/>
          <w:sz w:val="30"/>
          <w:szCs w:val="30"/>
          <w:lang w:val="en-US" w:eastAsia="zh-CN"/>
        </w:rPr>
        <w:t>一、基本情况</w:t>
      </w:r>
    </w:p>
    <w:p>
      <w:pPr>
        <w:numPr>
          <w:ilvl w:val="0"/>
          <w:numId w:val="0"/>
        </w:numPr>
        <w:adjustRightInd w:val="0"/>
        <w:snapToGrid w:val="0"/>
        <w:spacing w:line="600" w:lineRule="exact"/>
        <w:ind w:firstLine="600" w:firstLineChars="200"/>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1、</w:t>
      </w:r>
      <w:r>
        <w:rPr>
          <w:rFonts w:hint="eastAsia" w:ascii="仿宋_GB2312" w:eastAsia="仿宋_GB2312"/>
          <w:sz w:val="28"/>
          <w:szCs w:val="28"/>
          <w:lang w:val="en-US" w:eastAsia="zh-CN"/>
        </w:rPr>
        <w:t>湘财预[2017]177号、湘财预[2018]82号文件合计下达2018年政法转移支付资金172万元，其中办案业务费92万元，业务装备经费80万元；下达2018年公用经费补助经费21.12万元。</w:t>
      </w:r>
    </w:p>
    <w:p>
      <w:pPr>
        <w:numPr>
          <w:ilvl w:val="0"/>
          <w:numId w:val="0"/>
        </w:numPr>
        <w:adjustRightInd w:val="0"/>
        <w:snapToGrid w:val="0"/>
        <w:spacing w:line="600" w:lineRule="exact"/>
        <w:ind w:firstLine="600" w:firstLineChars="200"/>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2、</w:t>
      </w:r>
      <w:r>
        <w:rPr>
          <w:rFonts w:hint="eastAsia" w:ascii="仿宋_GB2312" w:eastAsia="仿宋_GB2312"/>
          <w:sz w:val="28"/>
          <w:szCs w:val="28"/>
          <w:lang w:val="en-US" w:eastAsia="zh-CN"/>
        </w:rPr>
        <w:t>湘财行指[2019]19号文件合计下达派出所维修经费3万元</w:t>
      </w:r>
      <w:r>
        <w:rPr>
          <w:rFonts w:hint="eastAsia" w:ascii="仿宋_GB2312" w:hAnsi="宋体" w:eastAsia="仿宋_GB2312" w:cs="Times New Roman"/>
          <w:color w:val="000000"/>
          <w:sz w:val="30"/>
          <w:szCs w:val="30"/>
          <w:lang w:val="en-US" w:eastAsia="zh-CN"/>
        </w:rPr>
        <w:t>。</w:t>
      </w:r>
    </w:p>
    <w:p>
      <w:pPr>
        <w:numPr>
          <w:ilvl w:val="0"/>
          <w:numId w:val="0"/>
        </w:numPr>
        <w:adjustRightInd w:val="0"/>
        <w:snapToGrid w:val="0"/>
        <w:spacing w:line="600" w:lineRule="exact"/>
        <w:ind w:firstLine="600" w:firstLineChars="200"/>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3、</w:t>
      </w:r>
      <w:r>
        <w:rPr>
          <w:rFonts w:hint="eastAsia" w:ascii="仿宋_GB2312" w:eastAsia="仿宋_GB2312"/>
          <w:sz w:val="28"/>
          <w:szCs w:val="28"/>
          <w:lang w:val="en-US" w:eastAsia="zh-CN"/>
        </w:rPr>
        <w:t>湘财预[2018]147号文件下达2017-2018年度预备费10万元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b/>
          <w:bCs/>
          <w:sz w:val="30"/>
          <w:szCs w:val="30"/>
          <w:lang w:val="en-US" w:eastAsia="zh-CN"/>
        </w:rPr>
      </w:pPr>
      <w:r>
        <w:rPr>
          <w:rFonts w:hint="eastAsia"/>
          <w:b/>
          <w:bCs/>
          <w:sz w:val="30"/>
          <w:szCs w:val="30"/>
          <w:lang w:val="en-US" w:eastAsia="zh-CN"/>
        </w:rPr>
        <w:t>二、绩效自评工作开展情况</w:t>
      </w:r>
    </w:p>
    <w:p>
      <w:pPr>
        <w:numPr>
          <w:ilvl w:val="0"/>
          <w:numId w:val="0"/>
        </w:numPr>
        <w:adjustRightInd w:val="0"/>
        <w:snapToGrid w:val="0"/>
        <w:spacing w:line="600" w:lineRule="exact"/>
        <w:ind w:firstLine="600" w:firstLineChars="200"/>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根据</w:t>
      </w:r>
      <w:r>
        <w:rPr>
          <w:rFonts w:hint="eastAsia" w:ascii="仿宋_GB2312" w:hAnsi="宋体" w:eastAsia="仿宋_GB2312" w:cs="Times New Roman"/>
          <w:color w:val="000000"/>
          <w:sz w:val="28"/>
          <w:szCs w:val="28"/>
          <w:lang w:eastAsia="zh-CN"/>
        </w:rPr>
        <w:t>《关于报送2019年预算绩效目标和2018年度部门预算绩效自评报告的通知》（永财绩〔</w:t>
      </w:r>
      <w:r>
        <w:rPr>
          <w:rFonts w:hint="eastAsia" w:ascii="仿宋_GB2312" w:hAnsi="宋体" w:eastAsia="仿宋_GB2312" w:cs="Times New Roman"/>
          <w:color w:val="000000"/>
          <w:sz w:val="28"/>
          <w:szCs w:val="28"/>
          <w:lang w:val="en-US" w:eastAsia="zh-CN"/>
        </w:rPr>
        <w:t>2019</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28"/>
          <w:szCs w:val="28"/>
          <w:lang w:val="en-US" w:eastAsia="zh-CN"/>
        </w:rPr>
        <w:t>1号</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30"/>
          <w:szCs w:val="30"/>
          <w:lang w:val="en-US" w:eastAsia="zh-CN"/>
        </w:rPr>
        <w:t>精神，对2017年中央和省级政法转移支付专项资金项目相关事宜进行了安排部署。</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outlineLvl w:val="9"/>
        <w:rPr>
          <w:rFonts w:hint="eastAsia"/>
          <w:b/>
          <w:bCs/>
          <w:sz w:val="30"/>
          <w:szCs w:val="30"/>
          <w:lang w:val="en-US" w:eastAsia="zh-CN"/>
        </w:rPr>
      </w:pPr>
      <w:r>
        <w:rPr>
          <w:rFonts w:hint="eastAsia"/>
          <w:b/>
          <w:bCs/>
          <w:sz w:val="30"/>
          <w:szCs w:val="30"/>
          <w:lang w:val="en-US" w:eastAsia="zh-CN"/>
        </w:rPr>
        <w:t>三、综合评价结论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9"/>
        <w:rPr>
          <w:rFonts w:hint="eastAsia"/>
          <w:b/>
          <w:bCs/>
          <w:sz w:val="30"/>
          <w:szCs w:val="30"/>
          <w:lang w:val="en-US" w:eastAsia="zh-CN"/>
        </w:rPr>
      </w:pPr>
      <w:r>
        <w:rPr>
          <w:rFonts w:hint="eastAsia" w:ascii="仿宋_GB2312" w:hAnsi="宋体" w:eastAsia="仿宋_GB2312" w:cs="Times New Roman"/>
          <w:color w:val="000000"/>
          <w:sz w:val="30"/>
          <w:szCs w:val="30"/>
          <w:lang w:val="en-US" w:eastAsia="zh-CN"/>
        </w:rPr>
        <w:t>经认真对照价，我局对2018年度中央和省级政法转移支付专项资金绩效自评为立项规范、目标合理、指标明确、管理到位，较好地发挥了专项资金作用，顺利推进了我局日常工作的运行。</w:t>
      </w:r>
      <w:r>
        <w:rPr>
          <w:rFonts w:hint="eastAsia" w:ascii="仿宋" w:hAnsi="仿宋" w:eastAsia="仿宋" w:cs="仿宋"/>
          <w:color w:val="000000"/>
          <w:sz w:val="30"/>
          <w:szCs w:val="30"/>
          <w:lang w:val="en-US" w:eastAsia="zh-CN"/>
        </w:rPr>
        <w:t>综合各项指标，</w:t>
      </w:r>
      <w:r>
        <w:rPr>
          <w:rFonts w:hint="eastAsia" w:ascii="仿宋_GB2312" w:hAnsi="宋体" w:eastAsia="仿宋_GB2312" w:cs="Times New Roman"/>
          <w:color w:val="000000"/>
          <w:sz w:val="30"/>
          <w:szCs w:val="30"/>
          <w:lang w:val="en-US" w:eastAsia="zh-CN"/>
        </w:rPr>
        <w:t>中央和省级政法转移支付专项资金</w:t>
      </w:r>
      <w:r>
        <w:rPr>
          <w:rFonts w:hint="eastAsia" w:ascii="仿宋" w:hAnsi="仿宋" w:eastAsia="仿宋" w:cs="仿宋"/>
          <w:color w:val="000000"/>
          <w:sz w:val="30"/>
          <w:szCs w:val="30"/>
          <w:lang w:val="en-US" w:eastAsia="zh-CN"/>
        </w:rPr>
        <w:t xml:space="preserve">绩效自评得分为88分，等级为良。 </w:t>
      </w:r>
    </w:p>
    <w:p>
      <w:pPr>
        <w:numPr>
          <w:ilvl w:val="0"/>
          <w:numId w:val="3"/>
        </w:numPr>
        <w:jc w:val="both"/>
        <w:rPr>
          <w:rFonts w:hint="eastAsia"/>
          <w:b/>
          <w:bCs/>
          <w:sz w:val="30"/>
          <w:szCs w:val="30"/>
          <w:lang w:val="en-US" w:eastAsia="zh-CN"/>
        </w:rPr>
      </w:pPr>
      <w:r>
        <w:rPr>
          <w:rFonts w:hint="eastAsia"/>
          <w:b/>
          <w:bCs/>
          <w:sz w:val="30"/>
          <w:szCs w:val="30"/>
          <w:lang w:val="en-US" w:eastAsia="zh-CN"/>
        </w:rPr>
        <w:t>绩效目标实现情况分析</w:t>
      </w:r>
    </w:p>
    <w:p>
      <w:pPr>
        <w:numPr>
          <w:ilvl w:val="0"/>
          <w:numId w:val="0"/>
        </w:numPr>
        <w:jc w:val="both"/>
        <w:rPr>
          <w:rFonts w:hint="eastAsia"/>
          <w:b/>
          <w:bCs/>
          <w:sz w:val="30"/>
          <w:szCs w:val="30"/>
          <w:lang w:val="en-US" w:eastAsia="zh-CN"/>
        </w:rPr>
      </w:pPr>
      <w:r>
        <w:rPr>
          <w:rFonts w:hint="eastAsia" w:ascii="楷体_GB2312" w:hAnsi="楷体_GB2312" w:eastAsia="楷体_GB2312" w:cs="楷体_GB2312"/>
          <w:b/>
          <w:bCs/>
          <w:sz w:val="30"/>
          <w:szCs w:val="30"/>
        </w:rPr>
        <w:t>（一）项目资金情况分析。</w:t>
      </w:r>
    </w:p>
    <w:p>
      <w:pPr>
        <w:numPr>
          <w:ilvl w:val="0"/>
          <w:numId w:val="0"/>
        </w:numPr>
        <w:adjustRightInd w:val="0"/>
        <w:snapToGrid w:val="0"/>
        <w:spacing w:line="600" w:lineRule="exact"/>
        <w:ind w:firstLine="600" w:firstLineChars="200"/>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1.项目资金到位情况分析。2018年度中央和省级政法转移支付办案业务经费实际到位资金206.12万元。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outlineLvl w:val="9"/>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2.项目资金执行情况分析。2018年度中央和省级政法转移支付办案业务经费支出206.12元。主要用于保障公安办案及公安装备配备各项开支，包括了办案的执勤执法车辆开支、办案人员差旅费、业务宣传费、信息举报费、专案支出、公安信息化装备配备等其他公安业务相关工作开支。开支情况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65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序  号</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开支科目</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办案差旅费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352192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2</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公务用车运行费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183480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3</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劳务费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23180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4</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培训费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13990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5</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其他交通费用</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34300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6</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侦查活动费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87581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7</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特情耳目费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8</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业务宣传费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142723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9</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印刷费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33537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10</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邮电费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11</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专用设备购置</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12</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信息网络消耗费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246212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13</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办公设备购置</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44827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14</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被装费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20161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15</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业务维修（护）费</w:t>
            </w: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合  计</w:t>
            </w:r>
          </w:p>
        </w:tc>
        <w:tc>
          <w:tcPr>
            <w:tcW w:w="2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eastAsia" w:ascii="仿宋" w:hAnsi="仿宋" w:eastAsia="仿宋" w:cs="仿宋"/>
                <w:color w:val="000000"/>
                <w:sz w:val="30"/>
                <w:szCs w:val="30"/>
                <w:vertAlign w:val="baseline"/>
                <w:lang w:val="en-US" w:eastAsia="zh-CN"/>
              </w:rPr>
            </w:pPr>
          </w:p>
        </w:tc>
        <w:tc>
          <w:tcPr>
            <w:tcW w:w="21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center"/>
              <w:textAlignment w:val="auto"/>
              <w:outlineLvl w:val="9"/>
              <w:rPr>
                <w:rFonts w:hint="default"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2061200</w:t>
            </w:r>
          </w:p>
        </w:tc>
      </w:tr>
    </w:tbl>
    <w:p>
      <w:pPr>
        <w:numPr>
          <w:ilvl w:val="0"/>
          <w:numId w:val="0"/>
        </w:num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2018年</w:t>
      </w:r>
      <w:r>
        <w:rPr>
          <w:rFonts w:hint="eastAsia" w:ascii="仿宋_GB2312" w:eastAsia="仿宋_GB2312"/>
          <w:sz w:val="32"/>
          <w:szCs w:val="32"/>
        </w:rPr>
        <w:t>以来，金洞分局受刑事案件26起，共立刑事案件24起，破17起，破现行案11起，破现行案率45.8</w:t>
      </w:r>
      <w:r>
        <w:rPr>
          <w:rFonts w:ascii="仿宋_GB2312" w:eastAsia="仿宋_GB2312"/>
          <w:sz w:val="32"/>
          <w:szCs w:val="32"/>
        </w:rPr>
        <w:t>%</w:t>
      </w:r>
      <w:r>
        <w:rPr>
          <w:rFonts w:hint="eastAsia" w:ascii="仿宋_GB2312" w:eastAsia="仿宋_GB2312"/>
          <w:sz w:val="32"/>
          <w:szCs w:val="32"/>
        </w:rPr>
        <w:t>，刑拘16人。查处治安案件36起，强制戒毒9人，处理违法人员47人，行政拘留33人；查处行政森林案件0起，处理违法人员0人。</w:t>
      </w:r>
    </w:p>
    <w:p>
      <w:pPr>
        <w:numPr>
          <w:ilvl w:val="0"/>
          <w:numId w:val="0"/>
        </w:numPr>
        <w:adjustRightInd w:val="0"/>
        <w:snapToGrid w:val="0"/>
        <w:spacing w:line="600" w:lineRule="exact"/>
        <w:ind w:firstLine="600" w:firstLineChars="200"/>
        <w:rPr>
          <w:rFonts w:hint="eastAsia" w:ascii="仿宋_GB2312" w:hAnsi="宋体" w:eastAsia="仿宋_GB2312" w:cs="Times New Roman"/>
          <w:color w:val="000000"/>
          <w:sz w:val="30"/>
          <w:szCs w:val="30"/>
          <w:lang w:val="en-US" w:eastAsia="zh-CN"/>
        </w:rPr>
      </w:pPr>
      <w:r>
        <w:rPr>
          <w:rFonts w:hint="eastAsia" w:ascii="仿宋_GB2312" w:hAnsi="宋体" w:eastAsia="仿宋_GB2312" w:cs="Times New Roman"/>
          <w:color w:val="000000"/>
          <w:sz w:val="30"/>
          <w:szCs w:val="30"/>
          <w:lang w:val="en-US" w:eastAsia="zh-CN"/>
        </w:rPr>
        <w:t>3.项目资金管理情况分析。中央和省级政法转移支付专项资金实行专款专用，财务管理制度健全，执行情况良好，无明显违反财务管理、财经纪律情况发生。会计核算真实完整，项目资金支出和原定用途、预算批复用途相符，支出符合国家财经法规和财务管理制度规定；资金拨付程序规范，资产管理制度健全，定期对资金使用情况进行检查，严格确保项目质量；财务管理按规定执行，符合有关财务会计管理规定。</w:t>
      </w:r>
    </w:p>
    <w:p>
      <w:pPr>
        <w:spacing w:line="540" w:lineRule="exact"/>
        <w:outlineLvl w:val="0"/>
        <w:rPr>
          <w:rFonts w:hint="eastAsia" w:ascii="宋体" w:hAnsi="宋体" w:eastAsia="宋体" w:cs="宋体"/>
          <w:b w:val="0"/>
          <w:i w:val="0"/>
          <w:caps w:val="0"/>
          <w:color w:val="333333"/>
          <w:spacing w:val="0"/>
          <w:sz w:val="30"/>
          <w:szCs w:val="30"/>
          <w:shd w:val="clear" w:color="auto" w:fill="FFFFFF"/>
          <w:lang w:eastAsia="zh-CN"/>
        </w:rPr>
      </w:pPr>
      <w:r>
        <w:rPr>
          <w:rFonts w:hint="eastAsia" w:ascii="楷体_GB2312" w:hAnsi="楷体_GB2312" w:eastAsia="楷体_GB2312" w:cs="楷体_GB2312"/>
          <w:b/>
          <w:bCs/>
          <w:sz w:val="30"/>
          <w:szCs w:val="30"/>
        </w:rPr>
        <w:t>（二）项目绩效指标完成情况分析。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2018年度中央和省级政法转移支付专项资金主要用于保障公安办案及公安装备配备各项开支，包括了办案的执勤执法车辆开支、办案人员差旅费、业务宣传费、信息举报费、专案支出、公安信息化装备配备等其他公安业务相关工作开支。办案业务经费主要用于办案消耗费、办案差旅费、侦查活动费、办案业务支出劳务费、办案业务专用材料支出、办案业务信息网络消耗费等等,维护了辖区内的稳定与人民的安全。业务装备经费主要用于业务装备的购置、刑事技术装备费、侦查技术装备费与信息网络及软件购置更新费。装备经费配备保障了刑事案件的破案率，以便快速跟上信息化时代的步伐。</w:t>
      </w:r>
    </w:p>
    <w:p>
      <w:pPr>
        <w:numPr>
          <w:ilvl w:val="0"/>
          <w:numId w:val="3"/>
        </w:numPr>
        <w:adjustRightInd w:val="0"/>
        <w:snapToGrid w:val="0"/>
        <w:spacing w:line="600" w:lineRule="exact"/>
        <w:ind w:left="0" w:leftChars="0" w:firstLine="0" w:firstLineChars="0"/>
        <w:rPr>
          <w:rFonts w:hint="eastAsia" w:ascii="黑体" w:hAnsi="黑体" w:eastAsia="黑体" w:cs="黑体"/>
          <w:bCs/>
          <w:sz w:val="30"/>
          <w:szCs w:val="30"/>
        </w:rPr>
      </w:pPr>
      <w:r>
        <w:rPr>
          <w:rFonts w:hint="eastAsia" w:ascii="黑体" w:hAnsi="黑体" w:eastAsia="黑体" w:cs="黑体"/>
          <w:bCs/>
          <w:sz w:val="30"/>
          <w:szCs w:val="30"/>
        </w:rPr>
        <w:t>绩效自评工作的经验、问题和建议</w:t>
      </w:r>
    </w:p>
    <w:p>
      <w:pPr>
        <w:numPr>
          <w:ilvl w:val="0"/>
          <w:numId w:val="0"/>
        </w:numPr>
        <w:adjustRightInd w:val="0"/>
        <w:snapToGrid w:val="0"/>
        <w:spacing w:line="600" w:lineRule="exact"/>
        <w:ind w:leftChars="0"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在政法系统中，公安机关处在维护稳定、打击犯罪的第一线，同时，还承担了禁毒、反恐、维稳等专项工作。因此，公安支出，无论是消耗性的还是建设性的都需要大量资金。在今后资金安排上，请市财政提高我局专案经费的支持力度。</w:t>
      </w:r>
    </w:p>
    <w:p>
      <w:pPr>
        <w:numPr>
          <w:ilvl w:val="0"/>
          <w:numId w:val="0"/>
        </w:numPr>
        <w:ind w:firstLine="600" w:firstLineChars="200"/>
        <w:jc w:val="both"/>
        <w:rPr>
          <w:rFonts w:hint="eastAsia" w:ascii="宋体" w:hAnsi="宋体" w:cs="宋体"/>
          <w:b w:val="0"/>
          <w:i w:val="0"/>
          <w:caps w:val="0"/>
          <w:color w:val="333333"/>
          <w:spacing w:val="0"/>
          <w:sz w:val="30"/>
          <w:szCs w:val="30"/>
          <w:shd w:val="clear" w:color="auto" w:fill="FFFFFF"/>
          <w:lang w:val="en-US" w:eastAsia="zh-CN"/>
        </w:rPr>
      </w:pPr>
      <w:r>
        <w:rPr>
          <w:rFonts w:hint="eastAsia" w:ascii="宋体" w:hAnsi="宋体" w:cs="宋体"/>
          <w:b w:val="0"/>
          <w:i w:val="0"/>
          <w:caps w:val="0"/>
          <w:color w:val="333333"/>
          <w:spacing w:val="0"/>
          <w:sz w:val="30"/>
          <w:szCs w:val="30"/>
          <w:shd w:val="clear" w:color="auto" w:fill="FFFFFF"/>
          <w:lang w:val="en-US" w:eastAsia="zh-CN"/>
        </w:rPr>
        <w:t xml:space="preserve">            </w:t>
      </w:r>
    </w:p>
    <w:p>
      <w:pPr>
        <w:numPr>
          <w:ilvl w:val="0"/>
          <w:numId w:val="0"/>
        </w:numPr>
        <w:ind w:firstLine="600" w:firstLineChars="200"/>
        <w:jc w:val="both"/>
        <w:rPr>
          <w:rFonts w:hint="eastAsia" w:ascii="仿宋" w:hAnsi="仿宋" w:eastAsia="仿宋" w:cs="仿宋"/>
          <w:b w:val="0"/>
          <w:i w:val="0"/>
          <w:caps w:val="0"/>
          <w:color w:val="333333"/>
          <w:spacing w:val="0"/>
          <w:sz w:val="30"/>
          <w:szCs w:val="30"/>
          <w:lang w:eastAsia="zh-CN"/>
        </w:rPr>
      </w:pPr>
      <w:r>
        <w:rPr>
          <w:rFonts w:hint="eastAsia" w:ascii="仿宋" w:hAnsi="仿宋" w:eastAsia="仿宋" w:cs="仿宋"/>
          <w:b w:val="0"/>
          <w:i w:val="0"/>
          <w:caps w:val="0"/>
          <w:color w:val="333333"/>
          <w:spacing w:val="0"/>
          <w:sz w:val="30"/>
          <w:szCs w:val="30"/>
          <w:lang w:eastAsia="zh-CN"/>
        </w:rPr>
        <w:t>附：市级财政专项（项目）资金绩效评价表</w:t>
      </w:r>
    </w:p>
    <w:p>
      <w:pPr>
        <w:widowControl/>
        <w:spacing w:line="560" w:lineRule="exact"/>
        <w:rPr>
          <w:rFonts w:hint="eastAsia" w:ascii="黑体" w:hAnsi="宋体" w:eastAsia="黑体" w:cs="宋体"/>
          <w:bCs/>
          <w:kern w:val="0"/>
          <w:sz w:val="32"/>
          <w:szCs w:val="32"/>
        </w:rPr>
      </w:pPr>
    </w:p>
    <w:p>
      <w:pPr>
        <w:widowControl/>
        <w:spacing w:line="560" w:lineRule="exact"/>
        <w:rPr>
          <w:rFonts w:hint="eastAsia" w:ascii="仿宋_GB2312" w:eastAsia="黑体"/>
          <w:sz w:val="32"/>
          <w:szCs w:val="32"/>
          <w:lang w:eastAsia="zh-CN"/>
        </w:rPr>
      </w:pPr>
      <w:r>
        <w:rPr>
          <w:rFonts w:hint="eastAsia" w:ascii="黑体" w:hAnsi="宋体" w:eastAsia="黑体" w:cs="宋体"/>
          <w:bCs/>
          <w:kern w:val="0"/>
          <w:sz w:val="32"/>
          <w:szCs w:val="32"/>
        </w:rPr>
        <w:br w:type="page"/>
      </w:r>
      <w:r>
        <w:rPr>
          <w:rFonts w:hint="eastAsia" w:ascii="黑体" w:hAnsi="宋体" w:eastAsia="黑体" w:cs="宋体"/>
          <w:bCs/>
          <w:kern w:val="0"/>
          <w:sz w:val="32"/>
          <w:szCs w:val="32"/>
        </w:rPr>
        <w:t>附件</w:t>
      </w:r>
      <w:r>
        <w:rPr>
          <w:rFonts w:hint="eastAsia" w:ascii="黑体" w:hAnsi="宋体" w:eastAsia="黑体" w:cs="宋体"/>
          <w:bCs/>
          <w:kern w:val="0"/>
          <w:sz w:val="32"/>
          <w:szCs w:val="32"/>
          <w:lang w:val="en-US" w:eastAsia="zh-CN"/>
        </w:rPr>
        <w:t>1</w:t>
      </w:r>
    </w:p>
    <w:p>
      <w:pPr>
        <w:widowControl/>
        <w:ind w:left="93"/>
        <w:jc w:val="center"/>
        <w:rPr>
          <w:rFonts w:eastAsia="方正小标宋_GBK"/>
          <w:kern w:val="0"/>
          <w:sz w:val="44"/>
          <w:szCs w:val="44"/>
        </w:rPr>
      </w:pPr>
      <w:r>
        <w:rPr>
          <w:rFonts w:eastAsia="方正小标宋_GBK"/>
          <w:kern w:val="0"/>
          <w:sz w:val="44"/>
          <w:szCs w:val="44"/>
        </w:rPr>
        <w:t>市级财政专项</w:t>
      </w:r>
      <w:r>
        <w:rPr>
          <w:rFonts w:hint="eastAsia" w:eastAsia="方正小标宋_GBK"/>
          <w:kern w:val="0"/>
          <w:sz w:val="44"/>
          <w:szCs w:val="44"/>
        </w:rPr>
        <w:t>（项目）</w:t>
      </w:r>
      <w:r>
        <w:rPr>
          <w:rFonts w:eastAsia="方正小标宋_GBK"/>
          <w:kern w:val="0"/>
          <w:sz w:val="44"/>
          <w:szCs w:val="44"/>
        </w:rPr>
        <w:t>资金绩效评价表</w:t>
      </w:r>
    </w:p>
    <w:tbl>
      <w:tblPr>
        <w:tblStyle w:val="5"/>
        <w:tblW w:w="0" w:type="auto"/>
        <w:jc w:val="center"/>
        <w:tblLayout w:type="fixed"/>
        <w:tblCellMar>
          <w:top w:w="0" w:type="dxa"/>
          <w:left w:w="108" w:type="dxa"/>
          <w:bottom w:w="0" w:type="dxa"/>
          <w:right w:w="108" w:type="dxa"/>
        </w:tblCellMar>
      </w:tblPr>
      <w:tblGrid>
        <w:gridCol w:w="656"/>
        <w:gridCol w:w="710"/>
        <w:gridCol w:w="1275"/>
        <w:gridCol w:w="3080"/>
        <w:gridCol w:w="4502"/>
        <w:gridCol w:w="385"/>
      </w:tblGrid>
      <w:tr>
        <w:tblPrEx>
          <w:tblCellMar>
            <w:top w:w="0" w:type="dxa"/>
            <w:left w:w="108" w:type="dxa"/>
            <w:bottom w:w="0" w:type="dxa"/>
            <w:right w:w="108" w:type="dxa"/>
          </w:tblCellMar>
        </w:tblPrEx>
        <w:trPr>
          <w:tblHeader/>
          <w:jc w:val="center"/>
        </w:trPr>
        <w:tc>
          <w:tcPr>
            <w:tcW w:w="656" w:type="dxa"/>
            <w:tcBorders>
              <w:top w:val="single" w:color="auto" w:sz="4" w:space="0"/>
              <w:left w:val="single" w:color="auto" w:sz="4" w:space="0"/>
              <w:bottom w:val="nil"/>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一级</w:t>
            </w:r>
          </w:p>
        </w:tc>
        <w:tc>
          <w:tcPr>
            <w:tcW w:w="710" w:type="dxa"/>
            <w:tcBorders>
              <w:top w:val="single" w:color="auto" w:sz="4" w:space="0"/>
              <w:left w:val="nil"/>
              <w:bottom w:val="nil"/>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二级</w:t>
            </w:r>
          </w:p>
        </w:tc>
        <w:tc>
          <w:tcPr>
            <w:tcW w:w="12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三级指标</w:t>
            </w:r>
          </w:p>
        </w:tc>
        <w:tc>
          <w:tcPr>
            <w:tcW w:w="30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指标解释</w:t>
            </w:r>
          </w:p>
        </w:tc>
        <w:tc>
          <w:tcPr>
            <w:tcW w:w="450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指标说明</w:t>
            </w:r>
          </w:p>
        </w:tc>
        <w:tc>
          <w:tcPr>
            <w:tcW w:w="385" w:type="dxa"/>
            <w:vMerge w:val="restart"/>
            <w:tcBorders>
              <w:top w:val="single" w:color="auto" w:sz="4" w:space="0"/>
              <w:left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hint="eastAsia" w:eastAsia="仿宋_GB2312"/>
                <w:b/>
                <w:bCs/>
                <w:color w:val="000000"/>
                <w:kern w:val="0"/>
                <w:sz w:val="20"/>
                <w:szCs w:val="20"/>
              </w:rPr>
              <w:t>得分</w:t>
            </w:r>
          </w:p>
        </w:tc>
      </w:tr>
      <w:tr>
        <w:tblPrEx>
          <w:tblCellMar>
            <w:top w:w="0" w:type="dxa"/>
            <w:left w:w="108" w:type="dxa"/>
            <w:bottom w:w="0" w:type="dxa"/>
            <w:right w:w="108" w:type="dxa"/>
          </w:tblCellMar>
        </w:tblPrEx>
        <w:trPr>
          <w:trHeight w:val="391" w:hRule="atLeast"/>
          <w:tblHeader/>
          <w:jc w:val="center"/>
        </w:trPr>
        <w:tc>
          <w:tcPr>
            <w:tcW w:w="656"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710" w:type="dxa"/>
            <w:tcBorders>
              <w:top w:val="nil"/>
              <w:left w:val="nil"/>
              <w:bottom w:val="single" w:color="auto" w:sz="4" w:space="0"/>
              <w:right w:val="single" w:color="auto" w:sz="4" w:space="0"/>
            </w:tcBorders>
            <w:noWrap w:val="0"/>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12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3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450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eastAsia="仿宋_GB2312"/>
                <w:b/>
                <w:bCs/>
                <w:color w:val="000000"/>
                <w:kern w:val="0"/>
                <w:sz w:val="20"/>
                <w:szCs w:val="20"/>
              </w:rPr>
            </w:pPr>
          </w:p>
        </w:tc>
        <w:tc>
          <w:tcPr>
            <w:tcW w:w="385" w:type="dxa"/>
            <w:vMerge w:val="continue"/>
            <w:tcBorders>
              <w:left w:val="single" w:color="auto" w:sz="4" w:space="0"/>
              <w:bottom w:val="single" w:color="000000" w:sz="4" w:space="0"/>
              <w:right w:val="single" w:color="auto" w:sz="4" w:space="0"/>
            </w:tcBorders>
            <w:noWrap w:val="0"/>
            <w:vAlign w:val="top"/>
          </w:tcPr>
          <w:p>
            <w:pPr>
              <w:widowControl/>
              <w:jc w:val="left"/>
              <w:rPr>
                <w:rFonts w:eastAsia="仿宋_GB2312"/>
                <w:b/>
                <w:bCs/>
                <w:color w:val="000000"/>
                <w:kern w:val="0"/>
                <w:sz w:val="20"/>
                <w:szCs w:val="20"/>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投入</w:t>
            </w:r>
          </w:p>
          <w:p>
            <w:pPr>
              <w:widowControl/>
              <w:spacing w:line="280" w:lineRule="exact"/>
              <w:jc w:val="center"/>
              <w:rPr>
                <w:rFonts w:ascii="宋体" w:hAnsi="宋体"/>
                <w:color w:val="000000"/>
                <w:kern w:val="0"/>
                <w:sz w:val="24"/>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（12分）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项目立项规范性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项目的申请、设立过程是否符合相关要求，用以反映和考核项目立项的规范情况。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①项目是否按照规定的程序申请设立；</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②所提交的文件、材料是否符合相关要求；</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948"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③事前是否已经过必要的可行性研究、专家论证、风险评估、集体决策等。</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绩效目标合理性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项目所设定的绩效目标是否依据充分，是否符合客观实际，用以反映和考核项目绩效目标与项目实施的相符情况。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①是否符合国家相关法律法规，国民经济发展规划和党委政府决策；</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②是否与项目实施单位或委托单位职责密切相关；</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③项目是否为促进事业发展所必需；</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82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④项目预期产出效益和效果是否符合正常的业绩水平。</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绩效指标明确性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依据绩效目标设定的绩效指标是否清晰、细化、可衡量等，用以反映和考核项目绩效目标的明细化情况。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①是否将项目绩效目标细化分解为具体的绩效指标；</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②是否通过清晰、可衡量的指标值予以体现；</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③是否与项目年度任务教或计划数相对应；</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675"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④是否与预期确定的项目投资额或资金量相匹配。</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资金落实</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实际到位资金与计划投入资金的比率，用以反映和考核资金落实情况对项目实施的总体保障程度。</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资金到位率=（实际到位资金/计划投入资金）×100%。</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实际到位资金：一定时期（本年度或项目期）内实际落实到具体项目的资金。</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1122"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计划投入资金：一定时期（本年度或项目期）内计划投入到具体项目的资金。</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及时到位资金与应到位资金的比率，用以反映和考核项目资金落实的及时性程度。</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到位及时率＝（及时到位资金/应到位资金）×100%。</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及时到位资金：截至规定时点实际落实到具体项目的资金。</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1091"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应到位资金：按照合同或项目进度要求截至规定时点应落实到具体项目的资金。</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过程</w:t>
            </w:r>
          </w:p>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业务管理</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（10分）</w:t>
            </w:r>
          </w:p>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项目实施单位的业务管理制度是否健全，用以反映和考核业务管理制度对项目顺利实施的保障情况。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①是否已制定或具有相应的业务管理制度；</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633" w:hRule="atLeast"/>
          <w:jc w:val="center"/>
        </w:trPr>
        <w:tc>
          <w:tcPr>
            <w:tcW w:w="656" w:type="dxa"/>
            <w:vMerge w:val="continue"/>
            <w:tcBorders>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②业务管理制度是否合法、合规、完整。</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制度执行有效性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项目实施是否符合相关业务管理规定，用以反映和考核业务管理制度的有效执行情况。</w:t>
            </w: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①是否遵守相关法律法规和业务管理规定；</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②项目调整及支出调整手续是否完备；</w:t>
            </w:r>
          </w:p>
        </w:tc>
        <w:tc>
          <w:tcPr>
            <w:tcW w:w="385" w:type="dxa"/>
            <w:tcBorders>
              <w:top w:val="nil"/>
              <w:left w:val="nil"/>
              <w:bottom w:val="nil"/>
              <w:right w:val="single" w:color="auto" w:sz="4" w:space="0"/>
            </w:tcBorders>
            <w:noWrap w:val="0"/>
            <w:vAlign w:val="top"/>
          </w:tcPr>
          <w:p>
            <w:pPr>
              <w:widowControl/>
              <w:spacing w:line="280" w:lineRule="exac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502" w:type="dxa"/>
            <w:tcBorders>
              <w:top w:val="nil"/>
              <w:left w:val="nil"/>
              <w:bottom w:val="nil"/>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③项目合同书、验收报告、技术审定等资料是否齐全并及时归档;</w:t>
            </w:r>
          </w:p>
        </w:tc>
        <w:tc>
          <w:tcPr>
            <w:tcW w:w="385" w:type="dxa"/>
            <w:tcBorders>
              <w:top w:val="nil"/>
              <w:left w:val="nil"/>
              <w:bottom w:val="nil"/>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1103" w:hRule="atLeast"/>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olor w:val="000000"/>
                <w:kern w:val="0"/>
                <w:sz w:val="24"/>
              </w:rPr>
            </w:pPr>
          </w:p>
        </w:tc>
        <w:tc>
          <w:tcPr>
            <w:tcW w:w="4502"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④项目实施的人员条件、场地设备，信息支撑等是否落实到位。</w:t>
            </w:r>
          </w:p>
        </w:tc>
        <w:tc>
          <w:tcPr>
            <w:tcW w:w="385" w:type="dxa"/>
            <w:tcBorders>
              <w:top w:val="nil"/>
              <w:left w:val="nil"/>
              <w:bottom w:val="single" w:color="auto" w:sz="4" w:space="0"/>
              <w:right w:val="single" w:color="auto" w:sz="4" w:space="0"/>
            </w:tcBorders>
            <w:noWrap w:val="0"/>
            <w:vAlign w:val="to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项目质量可控性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项目实施单位是否为达到项目质量要求而采取了必需的措施，用以反映和考核项目实施单位对项目质量的控制情况。</w:t>
            </w: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①是否已制定或其有相应的项目质量要求或标准；</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1194"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②是否采取了相应的项目质量检查、验收等必需的控制措施或手段。</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财务管理</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（5分）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项目实施单位的财务制度是否健全，用以反映和考核财务管理制度对资金规范安全运行的保障情况。</w:t>
            </w: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①是否已制定或具有相应的项目资金管理办法；</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866"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②项目资金管理办法是否符合相关财务会计制度的规定。</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资金使用合规性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项目资金使用是否符合相关的财务管理制度规定，用以反映和考核项目资金的规范运行情况。</w:t>
            </w: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①是否符合国家财经法规和财务管理以及有关专项资金管理办法的规定；</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②资金的拨付是否有完整的审批程序和手续；</w:t>
            </w:r>
          </w:p>
        </w:tc>
        <w:tc>
          <w:tcPr>
            <w:tcW w:w="385" w:type="dxa"/>
            <w:tcBorders>
              <w:top w:val="nil"/>
              <w:left w:val="nil"/>
              <w:bottom w:val="nil"/>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③项目的重大开支是否经过评估认证；</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④是否符合项目预算批复或合同规定的用途；</w:t>
            </w:r>
          </w:p>
        </w:tc>
        <w:tc>
          <w:tcPr>
            <w:tcW w:w="385" w:type="dxa"/>
            <w:tcBorders>
              <w:top w:val="nil"/>
              <w:left w:val="nil"/>
              <w:bottom w:val="nil"/>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1027"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⑤是否存在截留、挤占、挪用、虚列支出等情况。</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377" w:hRule="atLeast"/>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财务监控有效性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项目实施单位是否为保障资金的安全、规范运行而采取了必要的监控措施，用以反映和考核项目实施单位对资金运行的控制情况。</w:t>
            </w: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rPr>
          <w:jc w:val="center"/>
        </w:trPr>
        <w:tc>
          <w:tcPr>
            <w:tcW w:w="656" w:type="dxa"/>
            <w:vMerge w:val="continue"/>
            <w:tcBorders>
              <w:left w:val="single" w:color="auto"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①是否已制定或具有相应的监控机制；</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1519" w:hRule="atLeast"/>
          <w:jc w:val="center"/>
        </w:trPr>
        <w:tc>
          <w:tcPr>
            <w:tcW w:w="656" w:type="dxa"/>
            <w:vMerge w:val="continue"/>
            <w:tcBorders>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②是否采取了相应的财务检查等必要的监控措施或手段。</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实际完成率（7分）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项目实施的实际产出数与计划产出数的比率，用以反映和考核项目产出数量目标的实现程度。</w:t>
            </w: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实际完成率＝（实际产出数/计划产出数）×100%。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568"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实际产出数：一定时期（本年度或项目期）内项目实际产出的产品或提供的服务数。</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822"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计划产出数：项目绩效目标确定的在一定时期（本年度或项目期）内计划产出的产品或提供的服务数量。</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7</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项目实际提前完成时间与计划完成时间的比率，用以反映和考核项目产出时效目标的实现程度</w:t>
            </w: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 (计划完成时间-实际完成时间）/计划完成时间]</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实际完成时间：项目实施单位完成该项目实际所耗用的时间。</w:t>
            </w:r>
          </w:p>
        </w:tc>
        <w:tc>
          <w:tcPr>
            <w:tcW w:w="385"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7</w:t>
            </w:r>
          </w:p>
        </w:tc>
      </w:tr>
      <w:tr>
        <w:tblPrEx>
          <w:tblCellMar>
            <w:top w:w="0" w:type="dxa"/>
            <w:left w:w="108" w:type="dxa"/>
            <w:bottom w:w="0" w:type="dxa"/>
            <w:right w:w="108" w:type="dxa"/>
          </w:tblCellMar>
        </w:tblPrEx>
        <w:trPr>
          <w:trHeight w:val="51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计划完成时间：按照项目实施计划或相关规定完成该项目所需的时间。</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项目完成的质量达标产出数与实际产出数的比率，用以反映和考核项目产出质量目标的实现程度。</w:t>
            </w: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质量达标率＝（质量达标产出数/实际产出数）/100%。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质量达标产出数：一定时期（本年度或项目期）内实际达到既定质量标准的产品或服务数量。</w:t>
            </w:r>
          </w:p>
        </w:tc>
        <w:tc>
          <w:tcPr>
            <w:tcW w:w="385"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trHeight w:val="1006" w:hRule="exac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既定质量标准是指项目实施单位设立绩效目标时依据计划标准、行业标准、历史标准或其他标准而设定的绩效指标值。</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完成项目计划工作目标的实际节约成本与计划成本的比率，用以反映和考核项目的成本节约程度。</w:t>
            </w: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成本节约率＝(计划成本-实际成本)</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/计划成本×100%。</w:t>
            </w:r>
          </w:p>
        </w:tc>
        <w:tc>
          <w:tcPr>
            <w:tcW w:w="385" w:type="dxa"/>
            <w:tcBorders>
              <w:top w:val="nil"/>
              <w:left w:val="nil"/>
              <w:bottom w:val="nil"/>
              <w:right w:val="single" w:color="auto" w:sz="4" w:space="0"/>
            </w:tcBorders>
            <w:noWrap w:val="0"/>
            <w:vAlign w:val="to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nil"/>
              <w:right w:val="single" w:color="auto" w:sz="4" w:space="0"/>
            </w:tcBorders>
            <w:noWrap w:val="0"/>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实际成本：项目实施单位如期、保质、保量完成既定工作目标实际所耗费的支出。</w:t>
            </w:r>
          </w:p>
        </w:tc>
        <w:tc>
          <w:tcPr>
            <w:tcW w:w="385" w:type="dxa"/>
            <w:tcBorders>
              <w:top w:val="nil"/>
              <w:left w:val="nil"/>
              <w:bottom w:val="nil"/>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6</w:t>
            </w:r>
          </w:p>
        </w:tc>
      </w:tr>
      <w:tr>
        <w:tblPrEx>
          <w:tblCellMar>
            <w:top w:w="0" w:type="dxa"/>
            <w:left w:w="108" w:type="dxa"/>
            <w:bottom w:w="0" w:type="dxa"/>
            <w:right w:w="108" w:type="dxa"/>
          </w:tblCellMar>
        </w:tblPrEx>
        <w:trPr>
          <w:trHeight w:val="567"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计划成本：项目实施单位为完成工作目标计划安排的支出，一般以项目预算为参考。</w:t>
            </w:r>
          </w:p>
        </w:tc>
        <w:tc>
          <w:tcPr>
            <w:tcW w:w="385" w:type="dxa"/>
            <w:tcBorders>
              <w:top w:val="nil"/>
              <w:left w:val="nil"/>
              <w:bottom w:val="single" w:color="auto" w:sz="4" w:space="0"/>
              <w:right w:val="single" w:color="auto" w:sz="4" w:space="0"/>
            </w:tcBorders>
            <w:noWrap w:val="0"/>
            <w:vAlign w:val="top"/>
          </w:tcPr>
          <w:p>
            <w:pPr>
              <w:widowControl/>
              <w:rPr>
                <w:rFonts w:ascii="宋体" w:hAnsi="宋体"/>
                <w:color w:val="000000"/>
                <w:kern w:val="0"/>
                <w:sz w:val="24"/>
              </w:rPr>
            </w:pPr>
          </w:p>
        </w:tc>
      </w:tr>
      <w:tr>
        <w:tblPrEx>
          <w:tblCellMar>
            <w:top w:w="0" w:type="dxa"/>
            <w:left w:w="108" w:type="dxa"/>
            <w:bottom w:w="0" w:type="dxa"/>
            <w:right w:w="108" w:type="dxa"/>
          </w:tblCellMar>
        </w:tblPrEx>
        <w:trPr>
          <w:trHeight w:val="667" w:hRule="atLeast"/>
          <w:jc w:val="center"/>
        </w:trPr>
        <w:tc>
          <w:tcPr>
            <w:tcW w:w="6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效果</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经济效益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项目实施对经济发展所带来的直接或间接影响情况。</w:t>
            </w:r>
          </w:p>
        </w:tc>
        <w:tc>
          <w:tcPr>
            <w:tcW w:w="4502" w:type="dxa"/>
            <w:vMerge w:val="restart"/>
            <w:tcBorders>
              <w:top w:val="nil"/>
              <w:left w:val="single" w:color="auto" w:sz="4" w:space="0"/>
              <w:bottom w:val="single" w:color="000000"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此四项指标为设置项目支出</w:t>
            </w:r>
            <w:r>
              <w:rPr>
                <w:rFonts w:hint="eastAsia" w:ascii="仿宋_GB2312" w:hAnsi="宋体"/>
                <w:color w:val="000000"/>
                <w:kern w:val="0"/>
                <w:sz w:val="20"/>
                <w:szCs w:val="20"/>
              </w:rPr>
              <w:t>績</w:t>
            </w:r>
            <w:r>
              <w:rPr>
                <w:rFonts w:hint="eastAsia" w:ascii="仿宋_GB2312" w:hAnsi="宋体" w:eastAsia="仿宋_GB2312"/>
                <w:color w:val="000000"/>
                <w:kern w:val="0"/>
                <w:sz w:val="20"/>
                <w:szCs w:val="20"/>
              </w:rPr>
              <w:t>效评价指标时必须考虑的共性要素，可根据项目实际并结合绩效目标设立情况有选择的进行设置，并将其细化为相应的个性化指标。</w:t>
            </w:r>
          </w:p>
        </w:tc>
        <w:tc>
          <w:tcPr>
            <w:tcW w:w="385" w:type="dxa"/>
            <w:tcBorders>
              <w:top w:val="nil"/>
              <w:left w:val="single" w:color="auto" w:sz="4" w:space="0"/>
              <w:bottom w:val="single" w:color="000000" w:sz="4" w:space="0"/>
              <w:right w:val="single" w:color="auto" w:sz="4" w:space="0"/>
            </w:tcBorders>
            <w:noWrap w:val="0"/>
            <w:vAlign w:val="top"/>
          </w:tcPr>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604"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项目实施对社会发展所带来的直接或间接影响情况。</w:t>
            </w:r>
          </w:p>
        </w:tc>
        <w:tc>
          <w:tcPr>
            <w:tcW w:w="45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85" w:type="dxa"/>
            <w:tcBorders>
              <w:top w:val="nil"/>
              <w:left w:val="single" w:color="auto" w:sz="4" w:space="0"/>
              <w:bottom w:val="single" w:color="000000" w:sz="4" w:space="0"/>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r>
      <w:tr>
        <w:tblPrEx>
          <w:tblCellMar>
            <w:top w:w="0" w:type="dxa"/>
            <w:left w:w="108" w:type="dxa"/>
            <w:bottom w:w="0" w:type="dxa"/>
            <w:right w:w="108" w:type="dxa"/>
          </w:tblCellMar>
        </w:tblPrEx>
        <w:trPr>
          <w:trHeight w:val="755"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生态效益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项目实施对生态环境所带来的直接或间接影响情况。</w:t>
            </w:r>
          </w:p>
        </w:tc>
        <w:tc>
          <w:tcPr>
            <w:tcW w:w="45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olor w:val="000000"/>
                <w:kern w:val="0"/>
                <w:sz w:val="20"/>
                <w:szCs w:val="20"/>
              </w:rPr>
            </w:pPr>
          </w:p>
        </w:tc>
        <w:tc>
          <w:tcPr>
            <w:tcW w:w="385" w:type="dxa"/>
            <w:tcBorders>
              <w:top w:val="nil"/>
              <w:left w:val="single" w:color="auto" w:sz="4" w:space="0"/>
              <w:bottom w:val="single" w:color="000000" w:sz="4" w:space="0"/>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2</w:t>
            </w:r>
          </w:p>
        </w:tc>
      </w:tr>
      <w:tr>
        <w:tblPrEx>
          <w:tblCellMar>
            <w:top w:w="0" w:type="dxa"/>
            <w:left w:w="108" w:type="dxa"/>
            <w:bottom w:w="0" w:type="dxa"/>
            <w:right w:w="108" w:type="dxa"/>
          </w:tblCellMar>
        </w:tblPrEx>
        <w:trPr>
          <w:trHeight w:val="59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可持续影响（4分）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项目后续运行及成效发挥的可持续影响情况。</w:t>
            </w:r>
          </w:p>
        </w:tc>
        <w:tc>
          <w:tcPr>
            <w:tcW w:w="45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385" w:type="dxa"/>
            <w:tcBorders>
              <w:top w:val="nil"/>
              <w:left w:val="single" w:color="auto" w:sz="4" w:space="0"/>
              <w:bottom w:val="single" w:color="000000" w:sz="4" w:space="0"/>
              <w:right w:val="single" w:color="auto" w:sz="4" w:space="0"/>
            </w:tcBorders>
            <w:noWrap w:val="0"/>
            <w:vAlign w:val="top"/>
          </w:tcPr>
          <w:p>
            <w:pPr>
              <w:widowControl/>
              <w:jc w:val="left"/>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4</w:t>
            </w:r>
          </w:p>
        </w:tc>
      </w:tr>
      <w:tr>
        <w:tblPrEx>
          <w:tblCellMar>
            <w:top w:w="0" w:type="dxa"/>
            <w:left w:w="108" w:type="dxa"/>
            <w:bottom w:w="0" w:type="dxa"/>
            <w:right w:w="108" w:type="dxa"/>
          </w:tblCellMar>
        </w:tblPrEx>
        <w:trPr>
          <w:trHeight w:val="916" w:hRule="atLeast"/>
          <w:jc w:val="center"/>
        </w:trPr>
        <w:tc>
          <w:tcPr>
            <w:tcW w:w="6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社会公众或服务对象满意度（6分）</w:t>
            </w:r>
          </w:p>
        </w:tc>
        <w:tc>
          <w:tcPr>
            <w:tcW w:w="3080"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社会公众或服务对象对项目实施效策的满意程度</w:t>
            </w:r>
          </w:p>
        </w:tc>
        <w:tc>
          <w:tcPr>
            <w:tcW w:w="4502" w:type="dxa"/>
            <w:tcBorders>
              <w:top w:val="nil"/>
              <w:left w:val="nil"/>
              <w:bottom w:val="single" w:color="auto" w:sz="4" w:space="0"/>
              <w:right w:val="single" w:color="auto" w:sz="4" w:space="0"/>
            </w:tcBorders>
            <w:noWrap w:val="0"/>
            <w:vAlign w:val="center"/>
          </w:tcPr>
          <w:p>
            <w:pPr>
              <w:widowControl/>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社会公众或服务对象是指因该项目实施而受到影响的部门(单位)、群体或个人。一般采取社会调查的方式。</w:t>
            </w:r>
          </w:p>
        </w:tc>
        <w:tc>
          <w:tcPr>
            <w:tcW w:w="385" w:type="dxa"/>
            <w:tcBorders>
              <w:top w:val="nil"/>
              <w:left w:val="nil"/>
              <w:bottom w:val="single" w:color="auto" w:sz="4" w:space="0"/>
              <w:right w:val="single" w:color="auto" w:sz="4" w:space="0"/>
            </w:tcBorders>
            <w:noWrap w:val="0"/>
            <w:vAlign w:val="top"/>
          </w:tcPr>
          <w:p>
            <w:pPr>
              <w:widowControl/>
              <w:rPr>
                <w:rFonts w:hint="eastAsia" w:ascii="宋体" w:hAnsi="宋体" w:eastAsia="宋体"/>
                <w:color w:val="000000"/>
                <w:kern w:val="0"/>
                <w:sz w:val="24"/>
                <w:lang w:val="en-US" w:eastAsia="zh-CN"/>
              </w:rPr>
            </w:pPr>
          </w:p>
          <w:p>
            <w:pPr>
              <w:widowControl/>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5</w:t>
            </w:r>
          </w:p>
        </w:tc>
      </w:tr>
    </w:tbl>
    <w:p>
      <w:pPr>
        <w:numPr>
          <w:ilvl w:val="0"/>
          <w:numId w:val="0"/>
        </w:numPr>
        <w:jc w:val="both"/>
        <w:rPr>
          <w:rFonts w:hint="eastAsia"/>
          <w:b w:val="0"/>
          <w:bCs w:val="0"/>
          <w:sz w:val="28"/>
          <w:szCs w:val="28"/>
          <w:lang w:val="en-US" w:eastAsia="zh-CN"/>
        </w:rPr>
      </w:pPr>
    </w:p>
    <w:p>
      <w:pPr>
        <w:ind w:firstLine="640" w:firstLineChars="200"/>
        <w:jc w:val="left"/>
        <w:rPr>
          <w:rFonts w:cs="黑体" w:asciiTheme="minorEastAsia" w:hAnsiTheme="minorEastAsia"/>
          <w:color w:val="FF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7FD1B"/>
    <w:multiLevelType w:val="singleLevel"/>
    <w:tmpl w:val="9F67FD1B"/>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0BCEA0"/>
    <w:multiLevelType w:val="singleLevel"/>
    <w:tmpl w:val="400BCEA0"/>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155A0"/>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735DB"/>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407C9"/>
    <w:rsid w:val="008A3E8D"/>
    <w:rsid w:val="009237C4"/>
    <w:rsid w:val="00950252"/>
    <w:rsid w:val="00967F5D"/>
    <w:rsid w:val="009A0F95"/>
    <w:rsid w:val="009B3ADF"/>
    <w:rsid w:val="009C3B52"/>
    <w:rsid w:val="009D3795"/>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31919"/>
    <w:rsid w:val="00F74360"/>
    <w:rsid w:val="00FB462F"/>
    <w:rsid w:val="00FE16FA"/>
    <w:rsid w:val="00FE328A"/>
    <w:rsid w:val="0138425C"/>
    <w:rsid w:val="01764AFD"/>
    <w:rsid w:val="01914515"/>
    <w:rsid w:val="01B34953"/>
    <w:rsid w:val="02107F06"/>
    <w:rsid w:val="023D0C3F"/>
    <w:rsid w:val="027A7866"/>
    <w:rsid w:val="02906B70"/>
    <w:rsid w:val="029D2C0F"/>
    <w:rsid w:val="02E07002"/>
    <w:rsid w:val="033055FE"/>
    <w:rsid w:val="03342031"/>
    <w:rsid w:val="03390C40"/>
    <w:rsid w:val="035F0AD2"/>
    <w:rsid w:val="03BA10D4"/>
    <w:rsid w:val="03C804EC"/>
    <w:rsid w:val="045A7814"/>
    <w:rsid w:val="046A3D33"/>
    <w:rsid w:val="04744548"/>
    <w:rsid w:val="049268A7"/>
    <w:rsid w:val="049D0ABF"/>
    <w:rsid w:val="04BA0C36"/>
    <w:rsid w:val="055C7A01"/>
    <w:rsid w:val="059A1E13"/>
    <w:rsid w:val="05BF37C2"/>
    <w:rsid w:val="06197C4F"/>
    <w:rsid w:val="064845B3"/>
    <w:rsid w:val="066931AA"/>
    <w:rsid w:val="066A3B61"/>
    <w:rsid w:val="067316DF"/>
    <w:rsid w:val="069928E7"/>
    <w:rsid w:val="06FC110C"/>
    <w:rsid w:val="071F092C"/>
    <w:rsid w:val="0796067C"/>
    <w:rsid w:val="07C46E2C"/>
    <w:rsid w:val="07C8151F"/>
    <w:rsid w:val="07F56D1F"/>
    <w:rsid w:val="07FE458D"/>
    <w:rsid w:val="080731ED"/>
    <w:rsid w:val="080D6064"/>
    <w:rsid w:val="08151E03"/>
    <w:rsid w:val="084C4245"/>
    <w:rsid w:val="08611E06"/>
    <w:rsid w:val="08BD4F7F"/>
    <w:rsid w:val="08E502D7"/>
    <w:rsid w:val="09BF2D1F"/>
    <w:rsid w:val="09CA4937"/>
    <w:rsid w:val="09CB33F7"/>
    <w:rsid w:val="09D64F19"/>
    <w:rsid w:val="09D762EA"/>
    <w:rsid w:val="0A0814F6"/>
    <w:rsid w:val="0A2E78CD"/>
    <w:rsid w:val="0A4B0495"/>
    <w:rsid w:val="0A617D4E"/>
    <w:rsid w:val="0A6F51D3"/>
    <w:rsid w:val="0AA464D0"/>
    <w:rsid w:val="0AC50BB5"/>
    <w:rsid w:val="0AC722D0"/>
    <w:rsid w:val="0AFE3052"/>
    <w:rsid w:val="0B441715"/>
    <w:rsid w:val="0B5109D6"/>
    <w:rsid w:val="0B5B7CE9"/>
    <w:rsid w:val="0B610372"/>
    <w:rsid w:val="0BD527C2"/>
    <w:rsid w:val="0BEE597F"/>
    <w:rsid w:val="0C030302"/>
    <w:rsid w:val="0C1A2BA1"/>
    <w:rsid w:val="0C310CE0"/>
    <w:rsid w:val="0C723E14"/>
    <w:rsid w:val="0C7C170B"/>
    <w:rsid w:val="0CA92BA7"/>
    <w:rsid w:val="0CD371C7"/>
    <w:rsid w:val="0CF6516A"/>
    <w:rsid w:val="0D427F33"/>
    <w:rsid w:val="0E134BDA"/>
    <w:rsid w:val="0E423936"/>
    <w:rsid w:val="0E473DC1"/>
    <w:rsid w:val="0E595944"/>
    <w:rsid w:val="0E6C4940"/>
    <w:rsid w:val="0E8C17DD"/>
    <w:rsid w:val="0EF4554F"/>
    <w:rsid w:val="0F265673"/>
    <w:rsid w:val="0F2A7EAA"/>
    <w:rsid w:val="0F604A91"/>
    <w:rsid w:val="0F644C86"/>
    <w:rsid w:val="0F6B284C"/>
    <w:rsid w:val="10100E9B"/>
    <w:rsid w:val="104D52C8"/>
    <w:rsid w:val="105F6E2B"/>
    <w:rsid w:val="107E7F22"/>
    <w:rsid w:val="10E73896"/>
    <w:rsid w:val="10F97D24"/>
    <w:rsid w:val="116111EC"/>
    <w:rsid w:val="116A3304"/>
    <w:rsid w:val="11993A07"/>
    <w:rsid w:val="11C45092"/>
    <w:rsid w:val="11F86027"/>
    <w:rsid w:val="120464B3"/>
    <w:rsid w:val="120F356A"/>
    <w:rsid w:val="123A792B"/>
    <w:rsid w:val="12491E13"/>
    <w:rsid w:val="1255580E"/>
    <w:rsid w:val="12814E1E"/>
    <w:rsid w:val="128A7E79"/>
    <w:rsid w:val="12920A24"/>
    <w:rsid w:val="12A25A08"/>
    <w:rsid w:val="12BC0459"/>
    <w:rsid w:val="12E41971"/>
    <w:rsid w:val="12E80236"/>
    <w:rsid w:val="12EC50D6"/>
    <w:rsid w:val="133F39BC"/>
    <w:rsid w:val="13446DBC"/>
    <w:rsid w:val="136025DC"/>
    <w:rsid w:val="137032AA"/>
    <w:rsid w:val="137F0530"/>
    <w:rsid w:val="13B9473E"/>
    <w:rsid w:val="13D061EB"/>
    <w:rsid w:val="13D2052C"/>
    <w:rsid w:val="140114CA"/>
    <w:rsid w:val="14043260"/>
    <w:rsid w:val="143B59E5"/>
    <w:rsid w:val="14413FA3"/>
    <w:rsid w:val="14577CF0"/>
    <w:rsid w:val="146627DB"/>
    <w:rsid w:val="14B76771"/>
    <w:rsid w:val="14C417F3"/>
    <w:rsid w:val="14D44863"/>
    <w:rsid w:val="158C097A"/>
    <w:rsid w:val="15942A6C"/>
    <w:rsid w:val="15B93059"/>
    <w:rsid w:val="15CC750E"/>
    <w:rsid w:val="15EB2405"/>
    <w:rsid w:val="160C2F4F"/>
    <w:rsid w:val="165A3E81"/>
    <w:rsid w:val="16615F06"/>
    <w:rsid w:val="168F33DC"/>
    <w:rsid w:val="16F42CEF"/>
    <w:rsid w:val="1702555A"/>
    <w:rsid w:val="17855A06"/>
    <w:rsid w:val="17AE76B5"/>
    <w:rsid w:val="18024794"/>
    <w:rsid w:val="180A37B7"/>
    <w:rsid w:val="18123619"/>
    <w:rsid w:val="182A6955"/>
    <w:rsid w:val="185779D7"/>
    <w:rsid w:val="1879708D"/>
    <w:rsid w:val="1881783B"/>
    <w:rsid w:val="18872D73"/>
    <w:rsid w:val="188F1BCF"/>
    <w:rsid w:val="18BC13F6"/>
    <w:rsid w:val="18BC7016"/>
    <w:rsid w:val="18C47DA7"/>
    <w:rsid w:val="18DB5598"/>
    <w:rsid w:val="190A79CB"/>
    <w:rsid w:val="19320729"/>
    <w:rsid w:val="19425D78"/>
    <w:rsid w:val="194D5C5A"/>
    <w:rsid w:val="1958343B"/>
    <w:rsid w:val="1974436F"/>
    <w:rsid w:val="198C399E"/>
    <w:rsid w:val="19B56529"/>
    <w:rsid w:val="19B67909"/>
    <w:rsid w:val="19BD1E50"/>
    <w:rsid w:val="19EF78B4"/>
    <w:rsid w:val="1A400C0F"/>
    <w:rsid w:val="1A4340A1"/>
    <w:rsid w:val="1A65648E"/>
    <w:rsid w:val="1ABB38E0"/>
    <w:rsid w:val="1ABF1BBC"/>
    <w:rsid w:val="1ADF1977"/>
    <w:rsid w:val="1AEA6421"/>
    <w:rsid w:val="1B9E5C63"/>
    <w:rsid w:val="1BC814D6"/>
    <w:rsid w:val="1BDE4B61"/>
    <w:rsid w:val="1BE2490C"/>
    <w:rsid w:val="1BF861B6"/>
    <w:rsid w:val="1BFE7066"/>
    <w:rsid w:val="1C425683"/>
    <w:rsid w:val="1CB52D93"/>
    <w:rsid w:val="1CCB6D40"/>
    <w:rsid w:val="1CE12FFC"/>
    <w:rsid w:val="1D3351F1"/>
    <w:rsid w:val="1D4C26CF"/>
    <w:rsid w:val="1D7B0625"/>
    <w:rsid w:val="1DCD57A4"/>
    <w:rsid w:val="1E216CAB"/>
    <w:rsid w:val="1E3F5B69"/>
    <w:rsid w:val="1E6B6CDC"/>
    <w:rsid w:val="1EAC298F"/>
    <w:rsid w:val="1EDA74A6"/>
    <w:rsid w:val="1F0637AC"/>
    <w:rsid w:val="1F0A5F2A"/>
    <w:rsid w:val="1F17162F"/>
    <w:rsid w:val="1F3A5721"/>
    <w:rsid w:val="1F3F0452"/>
    <w:rsid w:val="1F495C9D"/>
    <w:rsid w:val="1F7E7B69"/>
    <w:rsid w:val="1F88234E"/>
    <w:rsid w:val="1F9316B8"/>
    <w:rsid w:val="1FCC25FF"/>
    <w:rsid w:val="1FD64F57"/>
    <w:rsid w:val="2038544A"/>
    <w:rsid w:val="20391899"/>
    <w:rsid w:val="206E5C33"/>
    <w:rsid w:val="20957B42"/>
    <w:rsid w:val="20CB3B0E"/>
    <w:rsid w:val="21457A6D"/>
    <w:rsid w:val="215C3FFE"/>
    <w:rsid w:val="2168365F"/>
    <w:rsid w:val="21784032"/>
    <w:rsid w:val="21E4331D"/>
    <w:rsid w:val="21FE0F58"/>
    <w:rsid w:val="221D1C12"/>
    <w:rsid w:val="22A84BFF"/>
    <w:rsid w:val="22D53E8C"/>
    <w:rsid w:val="22F3748D"/>
    <w:rsid w:val="23162DEE"/>
    <w:rsid w:val="234A0E21"/>
    <w:rsid w:val="234A73B0"/>
    <w:rsid w:val="23976D0B"/>
    <w:rsid w:val="23B70C39"/>
    <w:rsid w:val="23C46E57"/>
    <w:rsid w:val="23D02ABA"/>
    <w:rsid w:val="23D122AD"/>
    <w:rsid w:val="241A758D"/>
    <w:rsid w:val="24437840"/>
    <w:rsid w:val="244E73FA"/>
    <w:rsid w:val="248167D3"/>
    <w:rsid w:val="24873368"/>
    <w:rsid w:val="2492364A"/>
    <w:rsid w:val="24D51481"/>
    <w:rsid w:val="24F00167"/>
    <w:rsid w:val="250B3F3C"/>
    <w:rsid w:val="253E2952"/>
    <w:rsid w:val="25411080"/>
    <w:rsid w:val="25480794"/>
    <w:rsid w:val="255F65BF"/>
    <w:rsid w:val="25701C04"/>
    <w:rsid w:val="258871A0"/>
    <w:rsid w:val="25C72AB2"/>
    <w:rsid w:val="25ED50A5"/>
    <w:rsid w:val="261213E3"/>
    <w:rsid w:val="26B61CDB"/>
    <w:rsid w:val="26E13F15"/>
    <w:rsid w:val="27096D99"/>
    <w:rsid w:val="272F70AB"/>
    <w:rsid w:val="27B95C21"/>
    <w:rsid w:val="27EE5CC3"/>
    <w:rsid w:val="2816460E"/>
    <w:rsid w:val="28194B00"/>
    <w:rsid w:val="285F523E"/>
    <w:rsid w:val="289364F9"/>
    <w:rsid w:val="28A11442"/>
    <w:rsid w:val="291C1A29"/>
    <w:rsid w:val="2946133D"/>
    <w:rsid w:val="294C2391"/>
    <w:rsid w:val="29896F30"/>
    <w:rsid w:val="29DF1244"/>
    <w:rsid w:val="29F1680B"/>
    <w:rsid w:val="29FB1765"/>
    <w:rsid w:val="2A372E28"/>
    <w:rsid w:val="2A9955E3"/>
    <w:rsid w:val="2AA45121"/>
    <w:rsid w:val="2AC024E1"/>
    <w:rsid w:val="2B172D22"/>
    <w:rsid w:val="2B263BDD"/>
    <w:rsid w:val="2BBF29DE"/>
    <w:rsid w:val="2BC949B9"/>
    <w:rsid w:val="2BD350C5"/>
    <w:rsid w:val="2BDB513C"/>
    <w:rsid w:val="2C05413A"/>
    <w:rsid w:val="2C085A96"/>
    <w:rsid w:val="2C242850"/>
    <w:rsid w:val="2C7F2167"/>
    <w:rsid w:val="2CDC43E7"/>
    <w:rsid w:val="2CF870DC"/>
    <w:rsid w:val="2D0D0F63"/>
    <w:rsid w:val="2D153DF4"/>
    <w:rsid w:val="2D3D5C44"/>
    <w:rsid w:val="2D4538E3"/>
    <w:rsid w:val="2D8B167F"/>
    <w:rsid w:val="2DB34547"/>
    <w:rsid w:val="2DE43E89"/>
    <w:rsid w:val="2DEC52D8"/>
    <w:rsid w:val="2E2B60A1"/>
    <w:rsid w:val="2F0D568C"/>
    <w:rsid w:val="2F3A108C"/>
    <w:rsid w:val="2F7C3544"/>
    <w:rsid w:val="2F9800A9"/>
    <w:rsid w:val="2FAB008F"/>
    <w:rsid w:val="2FBB47FA"/>
    <w:rsid w:val="2FBD12DC"/>
    <w:rsid w:val="2FEC31F5"/>
    <w:rsid w:val="30490727"/>
    <w:rsid w:val="30D90AD7"/>
    <w:rsid w:val="31100797"/>
    <w:rsid w:val="312A4C44"/>
    <w:rsid w:val="31901196"/>
    <w:rsid w:val="31E308EA"/>
    <w:rsid w:val="31F11BEF"/>
    <w:rsid w:val="32720EFC"/>
    <w:rsid w:val="327F4CA0"/>
    <w:rsid w:val="328E19F2"/>
    <w:rsid w:val="32A17B2C"/>
    <w:rsid w:val="32FA101D"/>
    <w:rsid w:val="32FF5878"/>
    <w:rsid w:val="334424AF"/>
    <w:rsid w:val="33475D1B"/>
    <w:rsid w:val="334A56F6"/>
    <w:rsid w:val="335E3EEC"/>
    <w:rsid w:val="33686E51"/>
    <w:rsid w:val="338866AA"/>
    <w:rsid w:val="342A206B"/>
    <w:rsid w:val="343204D5"/>
    <w:rsid w:val="34506EEF"/>
    <w:rsid w:val="34680848"/>
    <w:rsid w:val="34732158"/>
    <w:rsid w:val="347F08AE"/>
    <w:rsid w:val="34CA4475"/>
    <w:rsid w:val="34CE063B"/>
    <w:rsid w:val="351A2F4E"/>
    <w:rsid w:val="35397E11"/>
    <w:rsid w:val="353E661E"/>
    <w:rsid w:val="354E4D70"/>
    <w:rsid w:val="356623B6"/>
    <w:rsid w:val="35821AA8"/>
    <w:rsid w:val="3583588A"/>
    <w:rsid w:val="35AE7310"/>
    <w:rsid w:val="35C813BA"/>
    <w:rsid w:val="361B6DCC"/>
    <w:rsid w:val="362D0E6B"/>
    <w:rsid w:val="3634009B"/>
    <w:rsid w:val="3655762F"/>
    <w:rsid w:val="36710257"/>
    <w:rsid w:val="367A686B"/>
    <w:rsid w:val="36B53123"/>
    <w:rsid w:val="36C12C57"/>
    <w:rsid w:val="36DE0646"/>
    <w:rsid w:val="36EA7BEE"/>
    <w:rsid w:val="37101A65"/>
    <w:rsid w:val="3726422F"/>
    <w:rsid w:val="373747A6"/>
    <w:rsid w:val="374A3E35"/>
    <w:rsid w:val="376906DD"/>
    <w:rsid w:val="379774B4"/>
    <w:rsid w:val="379E2336"/>
    <w:rsid w:val="37C14811"/>
    <w:rsid w:val="38146535"/>
    <w:rsid w:val="385377CE"/>
    <w:rsid w:val="385D5C12"/>
    <w:rsid w:val="38676634"/>
    <w:rsid w:val="386E66CA"/>
    <w:rsid w:val="38940100"/>
    <w:rsid w:val="38CC351F"/>
    <w:rsid w:val="38FC4667"/>
    <w:rsid w:val="38FE4808"/>
    <w:rsid w:val="390D7D67"/>
    <w:rsid w:val="394269D6"/>
    <w:rsid w:val="394C439D"/>
    <w:rsid w:val="39543704"/>
    <w:rsid w:val="396836AA"/>
    <w:rsid w:val="396A601C"/>
    <w:rsid w:val="39743E56"/>
    <w:rsid w:val="39AE4834"/>
    <w:rsid w:val="39BC50CB"/>
    <w:rsid w:val="39F0166D"/>
    <w:rsid w:val="3A3C7A5D"/>
    <w:rsid w:val="3A510C78"/>
    <w:rsid w:val="3AD303A6"/>
    <w:rsid w:val="3ADE3C21"/>
    <w:rsid w:val="3B003199"/>
    <w:rsid w:val="3B265D41"/>
    <w:rsid w:val="3B54200A"/>
    <w:rsid w:val="3B7517A7"/>
    <w:rsid w:val="3B845188"/>
    <w:rsid w:val="3B9F4E32"/>
    <w:rsid w:val="3C017D4F"/>
    <w:rsid w:val="3C9C23DE"/>
    <w:rsid w:val="3CCD1565"/>
    <w:rsid w:val="3CD06B6E"/>
    <w:rsid w:val="3CDE0C5F"/>
    <w:rsid w:val="3D3157B4"/>
    <w:rsid w:val="3D486E3A"/>
    <w:rsid w:val="3DA216D3"/>
    <w:rsid w:val="3DCE4F90"/>
    <w:rsid w:val="3E3F3730"/>
    <w:rsid w:val="3E5C7204"/>
    <w:rsid w:val="3E620038"/>
    <w:rsid w:val="3E745DA3"/>
    <w:rsid w:val="3E974F55"/>
    <w:rsid w:val="3EA21403"/>
    <w:rsid w:val="3F535A01"/>
    <w:rsid w:val="3F537875"/>
    <w:rsid w:val="3F8F6F1F"/>
    <w:rsid w:val="3FD00DB7"/>
    <w:rsid w:val="3FF37FD9"/>
    <w:rsid w:val="40194B00"/>
    <w:rsid w:val="40237E4B"/>
    <w:rsid w:val="404A301C"/>
    <w:rsid w:val="404E0E94"/>
    <w:rsid w:val="40C96B29"/>
    <w:rsid w:val="40D236C8"/>
    <w:rsid w:val="40D57FBC"/>
    <w:rsid w:val="40E823B8"/>
    <w:rsid w:val="40FD277C"/>
    <w:rsid w:val="413F63AF"/>
    <w:rsid w:val="414502EC"/>
    <w:rsid w:val="415B3B97"/>
    <w:rsid w:val="4167478B"/>
    <w:rsid w:val="416C2BCE"/>
    <w:rsid w:val="41B7405A"/>
    <w:rsid w:val="43085713"/>
    <w:rsid w:val="432B4D5D"/>
    <w:rsid w:val="4365759F"/>
    <w:rsid w:val="43982260"/>
    <w:rsid w:val="43A77CA9"/>
    <w:rsid w:val="440249C2"/>
    <w:rsid w:val="445E4FDD"/>
    <w:rsid w:val="44E235E9"/>
    <w:rsid w:val="45133790"/>
    <w:rsid w:val="451C37E5"/>
    <w:rsid w:val="45424531"/>
    <w:rsid w:val="454E7F63"/>
    <w:rsid w:val="45793687"/>
    <w:rsid w:val="45A24F4F"/>
    <w:rsid w:val="45BA76A8"/>
    <w:rsid w:val="45DE3B01"/>
    <w:rsid w:val="45E927DE"/>
    <w:rsid w:val="45EB0D9F"/>
    <w:rsid w:val="461672E6"/>
    <w:rsid w:val="46AC55A0"/>
    <w:rsid w:val="46AF45B4"/>
    <w:rsid w:val="46F726B7"/>
    <w:rsid w:val="472709B7"/>
    <w:rsid w:val="477700D7"/>
    <w:rsid w:val="47C0370B"/>
    <w:rsid w:val="47CA471E"/>
    <w:rsid w:val="47FD6B9C"/>
    <w:rsid w:val="4821634D"/>
    <w:rsid w:val="484D2951"/>
    <w:rsid w:val="48A50D23"/>
    <w:rsid w:val="48EE3AF3"/>
    <w:rsid w:val="48F64278"/>
    <w:rsid w:val="48FF6F63"/>
    <w:rsid w:val="49022523"/>
    <w:rsid w:val="491D4D49"/>
    <w:rsid w:val="49320773"/>
    <w:rsid w:val="4983259C"/>
    <w:rsid w:val="49AA69F6"/>
    <w:rsid w:val="49F70A59"/>
    <w:rsid w:val="4A1A54DB"/>
    <w:rsid w:val="4A7749E1"/>
    <w:rsid w:val="4A7A0C4A"/>
    <w:rsid w:val="4AAD6E31"/>
    <w:rsid w:val="4ADE188E"/>
    <w:rsid w:val="4AF6227D"/>
    <w:rsid w:val="4B0A1080"/>
    <w:rsid w:val="4B8920C7"/>
    <w:rsid w:val="4BBD44D2"/>
    <w:rsid w:val="4C787A62"/>
    <w:rsid w:val="4C8419CD"/>
    <w:rsid w:val="4C984844"/>
    <w:rsid w:val="4CBC545D"/>
    <w:rsid w:val="4CCC1300"/>
    <w:rsid w:val="4CCD1F51"/>
    <w:rsid w:val="4CEC2860"/>
    <w:rsid w:val="4CFF677D"/>
    <w:rsid w:val="4D19119C"/>
    <w:rsid w:val="4D1E64BE"/>
    <w:rsid w:val="4D97148A"/>
    <w:rsid w:val="4DA67375"/>
    <w:rsid w:val="4DAD70F2"/>
    <w:rsid w:val="4DF30A89"/>
    <w:rsid w:val="4E2A4CEC"/>
    <w:rsid w:val="4E70324C"/>
    <w:rsid w:val="4E851776"/>
    <w:rsid w:val="4EA30CEA"/>
    <w:rsid w:val="4F1B7444"/>
    <w:rsid w:val="4F2F1C21"/>
    <w:rsid w:val="4F4F593E"/>
    <w:rsid w:val="4F634593"/>
    <w:rsid w:val="4F6D15E3"/>
    <w:rsid w:val="4F7A1EAE"/>
    <w:rsid w:val="4FA82C37"/>
    <w:rsid w:val="4FC44465"/>
    <w:rsid w:val="4FC823A0"/>
    <w:rsid w:val="4FCE2F82"/>
    <w:rsid w:val="4FED2175"/>
    <w:rsid w:val="4FF91D61"/>
    <w:rsid w:val="50342E73"/>
    <w:rsid w:val="50797E24"/>
    <w:rsid w:val="508110B0"/>
    <w:rsid w:val="512A5795"/>
    <w:rsid w:val="51430CE0"/>
    <w:rsid w:val="517D1BDF"/>
    <w:rsid w:val="519848DE"/>
    <w:rsid w:val="51AC4054"/>
    <w:rsid w:val="51BB1F73"/>
    <w:rsid w:val="51C83CF0"/>
    <w:rsid w:val="52161DAD"/>
    <w:rsid w:val="52206C49"/>
    <w:rsid w:val="52666456"/>
    <w:rsid w:val="52850F4A"/>
    <w:rsid w:val="52B10406"/>
    <w:rsid w:val="53591CD9"/>
    <w:rsid w:val="53635AA4"/>
    <w:rsid w:val="53784CDB"/>
    <w:rsid w:val="537F051A"/>
    <w:rsid w:val="539B1AAB"/>
    <w:rsid w:val="540135E6"/>
    <w:rsid w:val="54177AE2"/>
    <w:rsid w:val="54497CD5"/>
    <w:rsid w:val="5453192D"/>
    <w:rsid w:val="54577BFA"/>
    <w:rsid w:val="54C23033"/>
    <w:rsid w:val="54F90727"/>
    <w:rsid w:val="555E0B19"/>
    <w:rsid w:val="55627C23"/>
    <w:rsid w:val="556A7254"/>
    <w:rsid w:val="557730C0"/>
    <w:rsid w:val="559E6F1E"/>
    <w:rsid w:val="559F04FF"/>
    <w:rsid w:val="55B74335"/>
    <w:rsid w:val="55D5592D"/>
    <w:rsid w:val="56094982"/>
    <w:rsid w:val="5659765A"/>
    <w:rsid w:val="56A52ED6"/>
    <w:rsid w:val="57065F46"/>
    <w:rsid w:val="573007A8"/>
    <w:rsid w:val="57606076"/>
    <w:rsid w:val="57746EEB"/>
    <w:rsid w:val="57895BA3"/>
    <w:rsid w:val="57C83C14"/>
    <w:rsid w:val="57E01183"/>
    <w:rsid w:val="57E10EAB"/>
    <w:rsid w:val="57FA66EB"/>
    <w:rsid w:val="581A26CF"/>
    <w:rsid w:val="581F0C5C"/>
    <w:rsid w:val="58263CD1"/>
    <w:rsid w:val="58777250"/>
    <w:rsid w:val="588A63A5"/>
    <w:rsid w:val="58BC6597"/>
    <w:rsid w:val="58CB1093"/>
    <w:rsid w:val="58E440CD"/>
    <w:rsid w:val="58F677D0"/>
    <w:rsid w:val="590579B9"/>
    <w:rsid w:val="595A71CF"/>
    <w:rsid w:val="59A13790"/>
    <w:rsid w:val="59AC43A7"/>
    <w:rsid w:val="59AD1880"/>
    <w:rsid w:val="59D14EC1"/>
    <w:rsid w:val="59DA2E7F"/>
    <w:rsid w:val="59FA7C7A"/>
    <w:rsid w:val="5A4E39AC"/>
    <w:rsid w:val="5A7125C9"/>
    <w:rsid w:val="5A826595"/>
    <w:rsid w:val="5A874921"/>
    <w:rsid w:val="5A9B35A5"/>
    <w:rsid w:val="5A9E2F43"/>
    <w:rsid w:val="5AD05CBE"/>
    <w:rsid w:val="5B1546FA"/>
    <w:rsid w:val="5B2518A8"/>
    <w:rsid w:val="5B606349"/>
    <w:rsid w:val="5B6C081C"/>
    <w:rsid w:val="5B931D85"/>
    <w:rsid w:val="5BF1027C"/>
    <w:rsid w:val="5C1B5088"/>
    <w:rsid w:val="5C230CDF"/>
    <w:rsid w:val="5C4418BA"/>
    <w:rsid w:val="5C9A5C83"/>
    <w:rsid w:val="5CA61C57"/>
    <w:rsid w:val="5CB9074B"/>
    <w:rsid w:val="5CD6296A"/>
    <w:rsid w:val="5CE65ED1"/>
    <w:rsid w:val="5D8C4862"/>
    <w:rsid w:val="5DB1461C"/>
    <w:rsid w:val="5E0B4359"/>
    <w:rsid w:val="5E1A0FF5"/>
    <w:rsid w:val="5E227507"/>
    <w:rsid w:val="5E3B0320"/>
    <w:rsid w:val="5E3D3995"/>
    <w:rsid w:val="5E7E1D31"/>
    <w:rsid w:val="5E837F96"/>
    <w:rsid w:val="5E9502A8"/>
    <w:rsid w:val="5EB93B0E"/>
    <w:rsid w:val="5F560563"/>
    <w:rsid w:val="5F767682"/>
    <w:rsid w:val="5FE54EFF"/>
    <w:rsid w:val="5FF3003E"/>
    <w:rsid w:val="600D72F3"/>
    <w:rsid w:val="604409AA"/>
    <w:rsid w:val="60572E26"/>
    <w:rsid w:val="60BA2695"/>
    <w:rsid w:val="60E26A0C"/>
    <w:rsid w:val="60F164F2"/>
    <w:rsid w:val="60FF7FA1"/>
    <w:rsid w:val="61216E25"/>
    <w:rsid w:val="61397526"/>
    <w:rsid w:val="614F6D84"/>
    <w:rsid w:val="615B718B"/>
    <w:rsid w:val="61875B5B"/>
    <w:rsid w:val="61A67F31"/>
    <w:rsid w:val="61F91A98"/>
    <w:rsid w:val="621A6676"/>
    <w:rsid w:val="62401598"/>
    <w:rsid w:val="626E4607"/>
    <w:rsid w:val="628B4097"/>
    <w:rsid w:val="629F513B"/>
    <w:rsid w:val="62E31EB5"/>
    <w:rsid w:val="63166542"/>
    <w:rsid w:val="632A0992"/>
    <w:rsid w:val="63352C87"/>
    <w:rsid w:val="63556710"/>
    <w:rsid w:val="63A7525A"/>
    <w:rsid w:val="63A80D30"/>
    <w:rsid w:val="63BF59EE"/>
    <w:rsid w:val="63F041DE"/>
    <w:rsid w:val="64043519"/>
    <w:rsid w:val="64074464"/>
    <w:rsid w:val="645C0555"/>
    <w:rsid w:val="646F2E85"/>
    <w:rsid w:val="648B1EEE"/>
    <w:rsid w:val="64BE32DA"/>
    <w:rsid w:val="64D47AD9"/>
    <w:rsid w:val="65134813"/>
    <w:rsid w:val="651F70BA"/>
    <w:rsid w:val="653F3745"/>
    <w:rsid w:val="65A92F78"/>
    <w:rsid w:val="65BA67C7"/>
    <w:rsid w:val="65D32550"/>
    <w:rsid w:val="65F11D23"/>
    <w:rsid w:val="66013660"/>
    <w:rsid w:val="661D1DA9"/>
    <w:rsid w:val="66394D09"/>
    <w:rsid w:val="663D7C27"/>
    <w:rsid w:val="664F4110"/>
    <w:rsid w:val="66530C33"/>
    <w:rsid w:val="66584897"/>
    <w:rsid w:val="66FE5428"/>
    <w:rsid w:val="672050FD"/>
    <w:rsid w:val="67275858"/>
    <w:rsid w:val="672F665B"/>
    <w:rsid w:val="67423C89"/>
    <w:rsid w:val="675903F7"/>
    <w:rsid w:val="676E24DF"/>
    <w:rsid w:val="67A57043"/>
    <w:rsid w:val="68815CC9"/>
    <w:rsid w:val="68AE15D2"/>
    <w:rsid w:val="68C965D4"/>
    <w:rsid w:val="68FB3821"/>
    <w:rsid w:val="690017DA"/>
    <w:rsid w:val="690A09C8"/>
    <w:rsid w:val="690D6D77"/>
    <w:rsid w:val="695531FD"/>
    <w:rsid w:val="69843680"/>
    <w:rsid w:val="69921C12"/>
    <w:rsid w:val="69D30F6B"/>
    <w:rsid w:val="69F366D0"/>
    <w:rsid w:val="6A18559A"/>
    <w:rsid w:val="6A705CC4"/>
    <w:rsid w:val="6A734B13"/>
    <w:rsid w:val="6AAA2290"/>
    <w:rsid w:val="6AD22B82"/>
    <w:rsid w:val="6AD34FA3"/>
    <w:rsid w:val="6B0862FD"/>
    <w:rsid w:val="6B2166DE"/>
    <w:rsid w:val="6B943A39"/>
    <w:rsid w:val="6BBB2794"/>
    <w:rsid w:val="6BEB0453"/>
    <w:rsid w:val="6C217DA7"/>
    <w:rsid w:val="6C513A8B"/>
    <w:rsid w:val="6C652CBB"/>
    <w:rsid w:val="6C811EA0"/>
    <w:rsid w:val="6CB01DFA"/>
    <w:rsid w:val="6CC47C41"/>
    <w:rsid w:val="6CD33485"/>
    <w:rsid w:val="6CE72189"/>
    <w:rsid w:val="6CFB73EA"/>
    <w:rsid w:val="6D241E1F"/>
    <w:rsid w:val="6D775326"/>
    <w:rsid w:val="6DCD34DB"/>
    <w:rsid w:val="6DE31300"/>
    <w:rsid w:val="6E203937"/>
    <w:rsid w:val="6E432DEB"/>
    <w:rsid w:val="6E683937"/>
    <w:rsid w:val="6E6A1037"/>
    <w:rsid w:val="6E742D1A"/>
    <w:rsid w:val="6EC57408"/>
    <w:rsid w:val="6ECE326C"/>
    <w:rsid w:val="6ED24655"/>
    <w:rsid w:val="6F0B0570"/>
    <w:rsid w:val="6F416893"/>
    <w:rsid w:val="6F5C4DF8"/>
    <w:rsid w:val="6F6C2B0B"/>
    <w:rsid w:val="6F725CD7"/>
    <w:rsid w:val="6F983B0E"/>
    <w:rsid w:val="700E1C5A"/>
    <w:rsid w:val="70415722"/>
    <w:rsid w:val="70442077"/>
    <w:rsid w:val="70827572"/>
    <w:rsid w:val="70B0449C"/>
    <w:rsid w:val="70B835DE"/>
    <w:rsid w:val="70BA75E6"/>
    <w:rsid w:val="70BF1BF9"/>
    <w:rsid w:val="7108222C"/>
    <w:rsid w:val="713611A6"/>
    <w:rsid w:val="71856549"/>
    <w:rsid w:val="719E1EF7"/>
    <w:rsid w:val="71B96C2D"/>
    <w:rsid w:val="71C66A71"/>
    <w:rsid w:val="71C954BC"/>
    <w:rsid w:val="71E15389"/>
    <w:rsid w:val="71E52604"/>
    <w:rsid w:val="71FD0B29"/>
    <w:rsid w:val="71FD4649"/>
    <w:rsid w:val="721E6B30"/>
    <w:rsid w:val="722E40DE"/>
    <w:rsid w:val="723A468E"/>
    <w:rsid w:val="727611A2"/>
    <w:rsid w:val="72C557C6"/>
    <w:rsid w:val="72D83ECF"/>
    <w:rsid w:val="737C19AF"/>
    <w:rsid w:val="741A7526"/>
    <w:rsid w:val="74301495"/>
    <w:rsid w:val="74767DA7"/>
    <w:rsid w:val="74775FB9"/>
    <w:rsid w:val="747D5AD0"/>
    <w:rsid w:val="74C75691"/>
    <w:rsid w:val="752E5157"/>
    <w:rsid w:val="753E6349"/>
    <w:rsid w:val="75814590"/>
    <w:rsid w:val="76106D6D"/>
    <w:rsid w:val="761A63AD"/>
    <w:rsid w:val="76472CAE"/>
    <w:rsid w:val="7653645A"/>
    <w:rsid w:val="76594AA3"/>
    <w:rsid w:val="766233DE"/>
    <w:rsid w:val="766F3322"/>
    <w:rsid w:val="77A841F2"/>
    <w:rsid w:val="77D14D99"/>
    <w:rsid w:val="77EA31F6"/>
    <w:rsid w:val="78227559"/>
    <w:rsid w:val="78561B68"/>
    <w:rsid w:val="7859023B"/>
    <w:rsid w:val="78CA1E0D"/>
    <w:rsid w:val="78D86408"/>
    <w:rsid w:val="78DF7F00"/>
    <w:rsid w:val="78E2216A"/>
    <w:rsid w:val="78E71FCB"/>
    <w:rsid w:val="792A0758"/>
    <w:rsid w:val="79373651"/>
    <w:rsid w:val="794E0F63"/>
    <w:rsid w:val="79512946"/>
    <w:rsid w:val="795A44BB"/>
    <w:rsid w:val="7A14164F"/>
    <w:rsid w:val="7A1E0466"/>
    <w:rsid w:val="7A6B73AA"/>
    <w:rsid w:val="7A85197D"/>
    <w:rsid w:val="7A894F33"/>
    <w:rsid w:val="7A8D2236"/>
    <w:rsid w:val="7A9C1526"/>
    <w:rsid w:val="7B017D6A"/>
    <w:rsid w:val="7B103601"/>
    <w:rsid w:val="7B224D5A"/>
    <w:rsid w:val="7B2F2B4D"/>
    <w:rsid w:val="7B8D72E3"/>
    <w:rsid w:val="7B9A545B"/>
    <w:rsid w:val="7BC41966"/>
    <w:rsid w:val="7BD21D7F"/>
    <w:rsid w:val="7BD86355"/>
    <w:rsid w:val="7BD87013"/>
    <w:rsid w:val="7BE20AD7"/>
    <w:rsid w:val="7BF82623"/>
    <w:rsid w:val="7C0F0103"/>
    <w:rsid w:val="7C125687"/>
    <w:rsid w:val="7C151C9D"/>
    <w:rsid w:val="7C4F02F0"/>
    <w:rsid w:val="7C501CCC"/>
    <w:rsid w:val="7D493869"/>
    <w:rsid w:val="7D522D1A"/>
    <w:rsid w:val="7D527D14"/>
    <w:rsid w:val="7DA05186"/>
    <w:rsid w:val="7DDD0EFD"/>
    <w:rsid w:val="7DE32F21"/>
    <w:rsid w:val="7E1A0AD3"/>
    <w:rsid w:val="7E2E4C0B"/>
    <w:rsid w:val="7EA712A3"/>
    <w:rsid w:val="7EBB2EFE"/>
    <w:rsid w:val="7EC44ED7"/>
    <w:rsid w:val="7ECC0605"/>
    <w:rsid w:val="7F0C7C67"/>
    <w:rsid w:val="7F2F7C66"/>
    <w:rsid w:val="7F5B4FF6"/>
    <w:rsid w:val="7FA1676C"/>
    <w:rsid w:val="7FEC14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8</TotalTime>
  <ScaleCrop>false</ScaleCrop>
  <LinksUpToDate>false</LinksUpToDate>
  <CharactersWithSpaces>8418</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liu</cp:lastModifiedBy>
  <cp:lastPrinted>2020-07-15T15:25:00Z</cp:lastPrinted>
  <dcterms:modified xsi:type="dcterms:W3CDTF">2023-04-17T10:09:52Z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21923E2EFCF14CE08C273161E91C741C</vt:lpwstr>
  </property>
</Properties>
</file>